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32D9" w14:textId="77777777" w:rsidR="003B2DAA" w:rsidRPr="00A92B1D" w:rsidRDefault="003B2DAA" w:rsidP="00327D32">
      <w:pPr>
        <w:adjustRightInd w:val="0"/>
        <w:jc w:val="center"/>
        <w:rPr>
          <w:rFonts w:ascii="Arial Narrow" w:hAnsi="Arial Narrow" w:cs="Arial Narrow"/>
          <w:b/>
          <w:bCs/>
        </w:rPr>
      </w:pPr>
      <w:r w:rsidRPr="00A92B1D">
        <w:rPr>
          <w:rFonts w:ascii="Arial Narrow" w:hAnsi="Arial Narrow" w:cs="Arial Narrow"/>
          <w:b/>
          <w:bCs/>
        </w:rPr>
        <w:t xml:space="preserve">Formulario </w:t>
      </w:r>
      <w:proofErr w:type="spellStart"/>
      <w:r w:rsidRPr="00A92B1D">
        <w:rPr>
          <w:rFonts w:ascii="Arial Narrow" w:hAnsi="Arial Narrow" w:cs="Arial Narrow"/>
          <w:b/>
          <w:bCs/>
        </w:rPr>
        <w:t>N°</w:t>
      </w:r>
      <w:proofErr w:type="spellEnd"/>
      <w:r w:rsidRPr="00A92B1D">
        <w:rPr>
          <w:rFonts w:ascii="Arial Narrow" w:hAnsi="Arial Narrow" w:cs="Arial Narrow"/>
          <w:b/>
          <w:bCs/>
        </w:rPr>
        <w:t xml:space="preserve"> 1</w:t>
      </w:r>
    </w:p>
    <w:p w14:paraId="508E98A1" w14:textId="77777777" w:rsidR="003B2DAA" w:rsidRPr="00547E72" w:rsidRDefault="003B2DAA"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0982449D" w14:textId="77777777" w:rsidR="003B2DAA" w:rsidRPr="00547E72" w:rsidRDefault="003B2DAA"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B2DAA" w:rsidRPr="00547E72" w14:paraId="4D0248B7"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658EF2A1"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7FF0226" w14:textId="77777777" w:rsidR="003B2DAA" w:rsidRPr="00547E72" w:rsidRDefault="003B2DAA" w:rsidP="009F1DD3">
            <w:pPr>
              <w:adjustRightInd w:val="0"/>
              <w:rPr>
                <w:rFonts w:ascii="Arial Narrow" w:hAnsi="Arial Narrow" w:cs="Arial Narrow"/>
              </w:rPr>
            </w:pPr>
          </w:p>
        </w:tc>
      </w:tr>
      <w:tr w:rsidR="003B2DAA" w:rsidRPr="00547E72" w14:paraId="47D95849"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6BAC774F"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26A01F1" w14:textId="77777777" w:rsidR="003B2DAA" w:rsidRPr="00547E72" w:rsidRDefault="003B2DAA" w:rsidP="009F1DD3">
            <w:pPr>
              <w:adjustRightInd w:val="0"/>
              <w:rPr>
                <w:rFonts w:ascii="Arial Narrow" w:hAnsi="Arial Narrow" w:cs="Arial Narrow"/>
              </w:rPr>
            </w:pPr>
          </w:p>
        </w:tc>
      </w:tr>
      <w:tr w:rsidR="003B2DAA" w:rsidRPr="00547E72" w14:paraId="71464C2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81CCB46"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3AF25B5" w14:textId="77777777" w:rsidR="003B2DAA" w:rsidRPr="00547E72" w:rsidRDefault="003B2DAA" w:rsidP="009F1DD3">
            <w:pPr>
              <w:adjustRightInd w:val="0"/>
              <w:rPr>
                <w:rFonts w:ascii="Arial Narrow" w:hAnsi="Arial Narrow" w:cs="Arial Narrow"/>
              </w:rPr>
            </w:pPr>
          </w:p>
        </w:tc>
      </w:tr>
      <w:tr w:rsidR="003B2DAA" w:rsidRPr="00547E72" w14:paraId="5014DE3F"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0E50F66"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E8C869B" w14:textId="77777777" w:rsidR="003B2DAA" w:rsidRPr="00547E72" w:rsidRDefault="003B2DAA" w:rsidP="009F1DD3">
            <w:pPr>
              <w:adjustRightInd w:val="0"/>
              <w:rPr>
                <w:rFonts w:ascii="Arial Narrow" w:hAnsi="Arial Narrow" w:cs="Arial Narrow"/>
              </w:rPr>
            </w:pPr>
          </w:p>
        </w:tc>
      </w:tr>
      <w:tr w:rsidR="003B2DAA" w:rsidRPr="00547E72" w14:paraId="405E3261"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B9EECFB"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2AF627B6" w14:textId="77777777" w:rsidR="003B2DAA" w:rsidRPr="00547E72" w:rsidRDefault="003B2DAA" w:rsidP="009F1DD3">
            <w:pPr>
              <w:adjustRightInd w:val="0"/>
              <w:rPr>
                <w:rFonts w:ascii="Arial Narrow" w:hAnsi="Arial Narrow" w:cs="Arial Narrow"/>
              </w:rPr>
            </w:pPr>
          </w:p>
        </w:tc>
      </w:tr>
      <w:tr w:rsidR="003B2DAA" w:rsidRPr="00547E72" w14:paraId="4CBC57F4"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8BF9517"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8C79C19" w14:textId="77777777" w:rsidR="003B2DAA" w:rsidRPr="00547E72" w:rsidRDefault="003B2DAA" w:rsidP="009F1DD3">
            <w:pPr>
              <w:adjustRightInd w:val="0"/>
              <w:rPr>
                <w:rFonts w:ascii="Arial Narrow" w:hAnsi="Arial Narrow" w:cs="Arial Narrow"/>
              </w:rPr>
            </w:pPr>
          </w:p>
        </w:tc>
      </w:tr>
      <w:tr w:rsidR="003B2DAA" w:rsidRPr="00547E72" w14:paraId="0FEE87CA"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087028E"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79F667" w14:textId="77777777" w:rsidR="003B2DAA" w:rsidRPr="00547E72" w:rsidRDefault="003B2DAA" w:rsidP="009F1DD3">
            <w:pPr>
              <w:adjustRightInd w:val="0"/>
              <w:rPr>
                <w:rFonts w:ascii="Arial Narrow" w:hAnsi="Arial Narrow" w:cs="Arial Narrow"/>
              </w:rPr>
            </w:pPr>
          </w:p>
        </w:tc>
      </w:tr>
      <w:tr w:rsidR="003B2DAA" w:rsidRPr="00547E72" w14:paraId="22B47ABB"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CDC16F7"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69DF9E" w14:textId="77777777" w:rsidR="003B2DAA" w:rsidRPr="00547E72" w:rsidRDefault="003B2DAA" w:rsidP="009F1DD3">
            <w:pPr>
              <w:adjustRightInd w:val="0"/>
              <w:rPr>
                <w:rFonts w:ascii="Arial Narrow" w:hAnsi="Arial Narrow" w:cs="Arial Narrow"/>
              </w:rPr>
            </w:pPr>
          </w:p>
        </w:tc>
      </w:tr>
      <w:tr w:rsidR="003B2DAA" w:rsidRPr="00547E72" w14:paraId="3145BCD2"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0D5129B"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9378068" w14:textId="77777777" w:rsidR="003B2DAA" w:rsidRPr="00547E72" w:rsidRDefault="003B2DAA" w:rsidP="009F1DD3">
            <w:pPr>
              <w:adjustRightInd w:val="0"/>
              <w:rPr>
                <w:rFonts w:ascii="Arial Narrow" w:hAnsi="Arial Narrow" w:cs="Arial Narrow"/>
              </w:rPr>
            </w:pPr>
          </w:p>
        </w:tc>
      </w:tr>
      <w:tr w:rsidR="003B2DAA" w:rsidRPr="00547E72" w14:paraId="46E8367C"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B699B9E"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D83DDFD" w14:textId="77777777" w:rsidR="003B2DAA" w:rsidRPr="00547E72" w:rsidRDefault="003B2DAA" w:rsidP="009F1DD3">
            <w:pPr>
              <w:adjustRightInd w:val="0"/>
              <w:rPr>
                <w:rFonts w:ascii="Arial Narrow" w:hAnsi="Arial Narrow" w:cs="Arial Narrow"/>
              </w:rPr>
            </w:pPr>
          </w:p>
        </w:tc>
      </w:tr>
      <w:tr w:rsidR="003B2DAA" w:rsidRPr="00547E72" w14:paraId="31F5FC4B"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57F0B63"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5E4B4BA" w14:textId="77777777" w:rsidR="003B2DAA" w:rsidRPr="00547E72" w:rsidRDefault="003B2DAA" w:rsidP="009F1DD3">
            <w:pPr>
              <w:adjustRightInd w:val="0"/>
              <w:rPr>
                <w:rFonts w:ascii="Arial Narrow" w:hAnsi="Arial Narrow" w:cs="Arial Narrow"/>
              </w:rPr>
            </w:pPr>
          </w:p>
        </w:tc>
      </w:tr>
      <w:tr w:rsidR="003B2DAA" w:rsidRPr="00547E72" w14:paraId="0EBE5D08"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4DC8FFA"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C8C55A4" w14:textId="77777777" w:rsidR="003B2DAA" w:rsidRPr="00547E72" w:rsidRDefault="003B2DAA" w:rsidP="009F1DD3">
            <w:pPr>
              <w:adjustRightInd w:val="0"/>
              <w:rPr>
                <w:rFonts w:ascii="Arial Narrow" w:hAnsi="Arial Narrow" w:cs="Arial Narrow"/>
              </w:rPr>
            </w:pPr>
          </w:p>
        </w:tc>
      </w:tr>
      <w:tr w:rsidR="003B2DAA" w:rsidRPr="00547E72" w14:paraId="258C0C5A" w14:textId="77777777" w:rsidTr="009F1DD3">
        <w:trPr>
          <w:trHeight w:val="423"/>
        </w:trPr>
        <w:tc>
          <w:tcPr>
            <w:tcW w:w="2518" w:type="dxa"/>
            <w:tcBorders>
              <w:top w:val="single" w:sz="4" w:space="0" w:color="000000"/>
              <w:left w:val="single" w:sz="4" w:space="0" w:color="000000"/>
              <w:bottom w:val="nil"/>
              <w:right w:val="nil"/>
            </w:tcBorders>
            <w:vAlign w:val="center"/>
          </w:tcPr>
          <w:p w14:paraId="3803B753"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019CC692"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52A36E02"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67A733A" w14:textId="77777777" w:rsidR="003B2DAA" w:rsidRPr="00547E72" w:rsidRDefault="003B2DAA" w:rsidP="009F1DD3">
                  <w:pPr>
                    <w:adjustRightInd w:val="0"/>
                    <w:rPr>
                      <w:rFonts w:ascii="Arial Narrow" w:hAnsi="Arial Narrow" w:cs="Arial Narrow"/>
                      <w:sz w:val="18"/>
                      <w:szCs w:val="18"/>
                    </w:rPr>
                  </w:pPr>
                </w:p>
              </w:tc>
            </w:tr>
          </w:tbl>
          <w:p w14:paraId="62C0245B" w14:textId="77777777" w:rsidR="003B2DAA" w:rsidRPr="00547E72" w:rsidRDefault="003B2DAA"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03FAAE7" w14:textId="77777777" w:rsidR="003B2DAA" w:rsidRPr="00547E72" w:rsidRDefault="003B2DAA" w:rsidP="009F1DD3">
            <w:pPr>
              <w:adjustRightInd w:val="0"/>
              <w:rPr>
                <w:rFonts w:ascii="Arial Narrow" w:hAnsi="Arial Narrow" w:cs="Arial Narrow"/>
                <w:sz w:val="18"/>
                <w:szCs w:val="18"/>
              </w:rPr>
            </w:pPr>
          </w:p>
        </w:tc>
      </w:tr>
      <w:tr w:rsidR="003B2DAA" w:rsidRPr="00547E72" w14:paraId="44DAAD58" w14:textId="77777777" w:rsidTr="009F1DD3">
        <w:trPr>
          <w:trHeight w:val="416"/>
        </w:trPr>
        <w:tc>
          <w:tcPr>
            <w:tcW w:w="2518" w:type="dxa"/>
            <w:tcBorders>
              <w:top w:val="nil"/>
              <w:left w:val="single" w:sz="4" w:space="0" w:color="000000"/>
              <w:bottom w:val="nil"/>
              <w:right w:val="nil"/>
            </w:tcBorders>
            <w:vAlign w:val="center"/>
          </w:tcPr>
          <w:p w14:paraId="08C2A786"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2EA184D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005E1D7B" w14:textId="77777777" w:rsidTr="009F1DD3">
              <w:tc>
                <w:tcPr>
                  <w:tcW w:w="360" w:type="dxa"/>
                  <w:tcBorders>
                    <w:top w:val="single" w:sz="4" w:space="0" w:color="000000"/>
                    <w:left w:val="single" w:sz="4" w:space="0" w:color="000000"/>
                    <w:bottom w:val="single" w:sz="4" w:space="0" w:color="000000"/>
                    <w:right w:val="single" w:sz="4" w:space="0" w:color="000000"/>
                  </w:tcBorders>
                </w:tcPr>
                <w:p w14:paraId="0571F8B0" w14:textId="77777777" w:rsidR="003B2DAA" w:rsidRPr="00547E72" w:rsidRDefault="003B2DAA" w:rsidP="009F1DD3">
                  <w:pPr>
                    <w:adjustRightInd w:val="0"/>
                    <w:rPr>
                      <w:rFonts w:ascii="Arial Narrow" w:hAnsi="Arial Narrow" w:cs="Arial Narrow"/>
                      <w:sz w:val="18"/>
                      <w:szCs w:val="18"/>
                    </w:rPr>
                  </w:pPr>
                </w:p>
              </w:tc>
            </w:tr>
          </w:tbl>
          <w:p w14:paraId="359DAB3C"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7CBEF56F" w14:textId="77777777" w:rsidR="003B2DAA" w:rsidRPr="00547E72" w:rsidRDefault="003B2DAA" w:rsidP="009F1DD3">
            <w:pPr>
              <w:adjustRightInd w:val="0"/>
              <w:rPr>
                <w:rFonts w:ascii="Arial Narrow" w:hAnsi="Arial Narrow" w:cs="Arial Narrow"/>
                <w:sz w:val="18"/>
                <w:szCs w:val="18"/>
              </w:rPr>
            </w:pPr>
          </w:p>
        </w:tc>
      </w:tr>
      <w:tr w:rsidR="003B2DAA" w:rsidRPr="00547E72" w14:paraId="3A053DB7" w14:textId="77777777" w:rsidTr="009F1DD3">
        <w:trPr>
          <w:trHeight w:val="408"/>
        </w:trPr>
        <w:tc>
          <w:tcPr>
            <w:tcW w:w="2518" w:type="dxa"/>
            <w:tcBorders>
              <w:top w:val="nil"/>
              <w:left w:val="single" w:sz="4" w:space="0" w:color="000000"/>
              <w:bottom w:val="nil"/>
              <w:right w:val="nil"/>
            </w:tcBorders>
            <w:vAlign w:val="center"/>
          </w:tcPr>
          <w:p w14:paraId="1438D2ED"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63008C49"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15E5F6A9"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712C395" w14:textId="77777777" w:rsidR="003B2DAA" w:rsidRPr="00547E72" w:rsidRDefault="003B2DAA" w:rsidP="009F1DD3">
                  <w:pPr>
                    <w:adjustRightInd w:val="0"/>
                    <w:rPr>
                      <w:rFonts w:ascii="Arial Narrow" w:hAnsi="Arial Narrow" w:cs="Arial Narrow"/>
                      <w:sz w:val="18"/>
                      <w:szCs w:val="18"/>
                    </w:rPr>
                  </w:pPr>
                </w:p>
              </w:tc>
            </w:tr>
          </w:tbl>
          <w:p w14:paraId="32346878"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F988A7A" w14:textId="77777777" w:rsidR="003B2DAA" w:rsidRPr="00547E72" w:rsidRDefault="003B2DAA" w:rsidP="009F1DD3">
            <w:pPr>
              <w:adjustRightInd w:val="0"/>
              <w:rPr>
                <w:rFonts w:ascii="Arial Narrow" w:hAnsi="Arial Narrow" w:cs="Arial Narrow"/>
                <w:sz w:val="18"/>
                <w:szCs w:val="18"/>
              </w:rPr>
            </w:pPr>
          </w:p>
        </w:tc>
      </w:tr>
      <w:tr w:rsidR="003B2DAA" w:rsidRPr="00547E72" w14:paraId="31442BC1" w14:textId="77777777" w:rsidTr="009F1DD3">
        <w:trPr>
          <w:trHeight w:val="428"/>
        </w:trPr>
        <w:tc>
          <w:tcPr>
            <w:tcW w:w="2518" w:type="dxa"/>
            <w:tcBorders>
              <w:top w:val="nil"/>
              <w:left w:val="single" w:sz="4" w:space="0" w:color="000000"/>
              <w:bottom w:val="nil"/>
              <w:right w:val="nil"/>
            </w:tcBorders>
            <w:vAlign w:val="center"/>
          </w:tcPr>
          <w:p w14:paraId="761D75AF"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6338C37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54A7F94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13AFA70A" w14:textId="77777777" w:rsidR="003B2DAA" w:rsidRPr="00547E72" w:rsidRDefault="003B2DAA" w:rsidP="009F1DD3">
                  <w:pPr>
                    <w:adjustRightInd w:val="0"/>
                    <w:rPr>
                      <w:rFonts w:ascii="Arial Narrow" w:hAnsi="Arial Narrow" w:cs="Arial Narrow"/>
                      <w:sz w:val="18"/>
                      <w:szCs w:val="18"/>
                    </w:rPr>
                  </w:pPr>
                </w:p>
              </w:tc>
            </w:tr>
          </w:tbl>
          <w:p w14:paraId="4B141AE6"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5D58C32B" w14:textId="77777777" w:rsidR="003B2DAA" w:rsidRPr="00547E72" w:rsidRDefault="003B2DAA" w:rsidP="009F1DD3">
            <w:pPr>
              <w:adjustRightInd w:val="0"/>
              <w:rPr>
                <w:rFonts w:ascii="Arial Narrow" w:hAnsi="Arial Narrow" w:cs="Arial Narrow"/>
                <w:sz w:val="18"/>
                <w:szCs w:val="18"/>
              </w:rPr>
            </w:pPr>
          </w:p>
        </w:tc>
      </w:tr>
      <w:tr w:rsidR="003B2DAA" w:rsidRPr="00547E72" w14:paraId="67C12DA0" w14:textId="77777777" w:rsidTr="009F1DD3">
        <w:trPr>
          <w:trHeight w:val="406"/>
        </w:trPr>
        <w:tc>
          <w:tcPr>
            <w:tcW w:w="2518" w:type="dxa"/>
            <w:tcBorders>
              <w:top w:val="nil"/>
              <w:left w:val="single" w:sz="4" w:space="0" w:color="000000"/>
              <w:bottom w:val="single" w:sz="4" w:space="0" w:color="000000"/>
              <w:right w:val="nil"/>
            </w:tcBorders>
            <w:vAlign w:val="center"/>
          </w:tcPr>
          <w:p w14:paraId="1F4F4A81"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3FEA03F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127A3CCB" w14:textId="77777777" w:rsidTr="009F1DD3">
              <w:tc>
                <w:tcPr>
                  <w:tcW w:w="360" w:type="dxa"/>
                  <w:tcBorders>
                    <w:top w:val="single" w:sz="4" w:space="0" w:color="000000"/>
                    <w:left w:val="single" w:sz="4" w:space="0" w:color="000000"/>
                    <w:bottom w:val="single" w:sz="4" w:space="0" w:color="000000"/>
                    <w:right w:val="single" w:sz="4" w:space="0" w:color="000000"/>
                  </w:tcBorders>
                </w:tcPr>
                <w:p w14:paraId="0FA6F10D" w14:textId="77777777" w:rsidR="003B2DAA" w:rsidRPr="00547E72" w:rsidRDefault="003B2DAA" w:rsidP="009F1DD3">
                  <w:pPr>
                    <w:adjustRightInd w:val="0"/>
                    <w:rPr>
                      <w:rFonts w:ascii="Arial Narrow" w:hAnsi="Arial Narrow" w:cs="Arial Narrow"/>
                      <w:sz w:val="18"/>
                      <w:szCs w:val="18"/>
                    </w:rPr>
                  </w:pPr>
                </w:p>
              </w:tc>
            </w:tr>
          </w:tbl>
          <w:p w14:paraId="767AECA4"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64D558EB" w14:textId="77777777" w:rsidR="003B2DAA" w:rsidRPr="00547E72" w:rsidRDefault="003B2DAA"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B2DAA" w:rsidRPr="00547E72" w14:paraId="0E86DC47"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9002F6F"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proofErr w:type="spellStart"/>
            <w:r w:rsidRPr="00547E72">
              <w:rPr>
                <w:rFonts w:ascii="Arial Narrow" w:hAnsi="Arial Narrow" w:cs="Arial Narrow"/>
                <w:sz w:val="18"/>
                <w:szCs w:val="18"/>
              </w:rPr>
              <w:t>N°</w:t>
            </w:r>
            <w:proofErr w:type="spellEnd"/>
            <w:r w:rsidRPr="00547E72">
              <w:rPr>
                <w:rFonts w:ascii="Arial Narrow" w:hAnsi="Arial Narrow" w:cs="Arial Narrow"/>
                <w:sz w:val="18"/>
                <w:szCs w:val="18"/>
              </w:rPr>
              <w:t xml:space="preserve">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728AD23" w14:textId="77777777" w:rsidR="003B2DAA" w:rsidRPr="00547E72" w:rsidRDefault="003B2DAA" w:rsidP="009F1DD3">
            <w:pPr>
              <w:adjustRightInd w:val="0"/>
              <w:rPr>
                <w:rFonts w:ascii="Arial Narrow" w:hAnsi="Arial Narrow" w:cs="Arial Narrow"/>
              </w:rPr>
            </w:pPr>
          </w:p>
        </w:tc>
      </w:tr>
    </w:tbl>
    <w:p w14:paraId="66BD4AFC" w14:textId="77777777" w:rsidR="003B2DAA" w:rsidRPr="00547E72" w:rsidRDefault="003B2DAA" w:rsidP="00327D32">
      <w:pPr>
        <w:adjustRightInd w:val="0"/>
        <w:jc w:val="center"/>
        <w:rPr>
          <w:rFonts w:ascii="Arial Narrow" w:hAnsi="Arial Narrow" w:cs="Arial Narrow"/>
          <w:sz w:val="20"/>
          <w:szCs w:val="20"/>
        </w:rPr>
      </w:pPr>
    </w:p>
    <w:p w14:paraId="06F2926C" w14:textId="77777777" w:rsidR="003B2DAA" w:rsidRPr="00547E72" w:rsidRDefault="003B2DAA" w:rsidP="00327D32">
      <w:pPr>
        <w:adjustRightInd w:val="0"/>
        <w:jc w:val="center"/>
        <w:rPr>
          <w:rFonts w:ascii="Arial Narrow" w:hAnsi="Arial Narrow" w:cs="Arial Narrow"/>
        </w:rPr>
      </w:pPr>
    </w:p>
    <w:p w14:paraId="22E7E9CA" w14:textId="77777777" w:rsidR="003B2DAA" w:rsidRPr="00547E72" w:rsidRDefault="003B2DAA" w:rsidP="00327D32">
      <w:pPr>
        <w:adjustRightInd w:val="0"/>
        <w:jc w:val="center"/>
        <w:rPr>
          <w:rFonts w:ascii="Arial Narrow" w:hAnsi="Arial Narrow" w:cs="Arial Narrow"/>
        </w:rPr>
      </w:pPr>
    </w:p>
    <w:p w14:paraId="3600B8D5" w14:textId="77777777" w:rsidR="003B2DAA" w:rsidRPr="00547E72" w:rsidRDefault="003B2DAA" w:rsidP="00327D32">
      <w:pPr>
        <w:adjustRightInd w:val="0"/>
        <w:jc w:val="center"/>
        <w:rPr>
          <w:rFonts w:ascii="Arial Narrow" w:hAnsi="Arial Narrow" w:cs="Arial Narrow"/>
        </w:rPr>
      </w:pPr>
    </w:p>
    <w:p w14:paraId="54BFA409" w14:textId="77777777" w:rsidR="003B2DAA" w:rsidRDefault="003B2DAA" w:rsidP="00327D32">
      <w:pPr>
        <w:adjustRightInd w:val="0"/>
        <w:jc w:val="center"/>
        <w:rPr>
          <w:rFonts w:ascii="Arial Narrow" w:hAnsi="Arial Narrow" w:cs="Arial Narrow"/>
        </w:rPr>
      </w:pPr>
    </w:p>
    <w:p w14:paraId="5704D33F" w14:textId="77777777" w:rsidR="003B2DAA" w:rsidRDefault="003B2DAA" w:rsidP="00327D32">
      <w:pPr>
        <w:adjustRightInd w:val="0"/>
        <w:jc w:val="center"/>
        <w:rPr>
          <w:rFonts w:ascii="Arial Narrow" w:hAnsi="Arial Narrow" w:cs="Arial Narrow"/>
        </w:rPr>
      </w:pPr>
    </w:p>
    <w:p w14:paraId="6F28F9E4" w14:textId="77777777" w:rsidR="003B2DAA" w:rsidRPr="00547E72" w:rsidRDefault="003B2DAA" w:rsidP="00327D32">
      <w:pPr>
        <w:adjustRightInd w:val="0"/>
        <w:jc w:val="center"/>
        <w:rPr>
          <w:rFonts w:ascii="Arial Narrow" w:hAnsi="Arial Narrow" w:cs="Arial Narrow"/>
        </w:rPr>
      </w:pPr>
    </w:p>
    <w:p w14:paraId="12079026"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____________________________________________.</w:t>
      </w:r>
    </w:p>
    <w:p w14:paraId="4731C012"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14:paraId="5AA24A34" w14:textId="77777777" w:rsidR="003B2DAA" w:rsidRPr="00547E72" w:rsidRDefault="003B2DAA" w:rsidP="00327D32">
      <w:pPr>
        <w:rPr>
          <w:rFonts w:ascii="Arial Narrow" w:hAnsi="Arial Narrow" w:cs="Arial Narrow"/>
        </w:rPr>
      </w:pPr>
      <w:r w:rsidRPr="00683BC2">
        <w:rPr>
          <w:rFonts w:ascii="Arial Narrow" w:hAnsi="Arial Narrow" w:cs="Arial Narrow"/>
        </w:rPr>
        <w:t>(</w:t>
      </w:r>
      <w:proofErr w:type="spellStart"/>
      <w:r w:rsidRPr="00683BC2">
        <w:rPr>
          <w:rFonts w:ascii="Arial Narrow" w:hAnsi="Arial Narrow" w:cs="Arial Narrow"/>
        </w:rPr>
        <w:t>D.N.</w:t>
      </w:r>
      <w:proofErr w:type="gramStart"/>
      <w:r w:rsidRPr="00683BC2">
        <w:rPr>
          <w:rFonts w:ascii="Arial Narrow" w:hAnsi="Arial Narrow" w:cs="Arial Narrow"/>
        </w:rPr>
        <w:t>I.Nº</w:t>
      </w:r>
      <w:proofErr w:type="spellEnd"/>
      <w:proofErr w:type="gramEnd"/>
      <w:r w:rsidRPr="00683BC2">
        <w:rPr>
          <w:rFonts w:ascii="Arial Narrow" w:hAnsi="Arial Narrow" w:cs="Arial Narrow"/>
        </w:rPr>
        <w:t xml:space="preserve"> /Carné de Extranjería de ser el caso)</w:t>
      </w:r>
      <w:r w:rsidRPr="00547E72">
        <w:rPr>
          <w:rFonts w:ascii="Arial Narrow" w:hAnsi="Arial Narrow" w:cs="Arial Narrow"/>
        </w:rPr>
        <w:br w:type="page"/>
      </w:r>
    </w:p>
    <w:p w14:paraId="1F059AAA" w14:textId="77777777" w:rsidR="003B2DAA" w:rsidRPr="00BC1D61" w:rsidRDefault="003B2DAA" w:rsidP="00327D32">
      <w:pPr>
        <w:adjustRightInd w:val="0"/>
        <w:jc w:val="center"/>
        <w:rPr>
          <w:rFonts w:ascii="Arial Narrow" w:hAnsi="Arial Narrow" w:cs="Arial Narrow"/>
          <w:b/>
          <w:bCs/>
        </w:rPr>
      </w:pPr>
      <w:r w:rsidRPr="00BC1D61">
        <w:rPr>
          <w:rFonts w:ascii="Arial Narrow" w:hAnsi="Arial Narrow" w:cs="Arial Narrow"/>
          <w:b/>
          <w:bCs/>
        </w:rPr>
        <w:lastRenderedPageBreak/>
        <w:t xml:space="preserve">Formulario </w:t>
      </w:r>
      <w:proofErr w:type="spellStart"/>
      <w:r w:rsidRPr="00BC1D61">
        <w:rPr>
          <w:rFonts w:ascii="Arial Narrow" w:hAnsi="Arial Narrow" w:cs="Arial Narrow"/>
          <w:b/>
          <w:bCs/>
        </w:rPr>
        <w:t>N°</w:t>
      </w:r>
      <w:proofErr w:type="spellEnd"/>
      <w:r w:rsidRPr="00BC1D61">
        <w:rPr>
          <w:rFonts w:ascii="Arial Narrow" w:hAnsi="Arial Narrow" w:cs="Arial Narrow"/>
          <w:b/>
          <w:bCs/>
        </w:rPr>
        <w:t xml:space="preserve"> 2</w:t>
      </w:r>
    </w:p>
    <w:p w14:paraId="350B2335" w14:textId="77777777" w:rsidR="003B2DAA" w:rsidRPr="00547E72" w:rsidRDefault="003B2DAA"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07526B9E" w14:textId="77777777" w:rsidR="003B2DAA" w:rsidRPr="00547E72" w:rsidRDefault="003B2DAA" w:rsidP="00327D32">
      <w:pPr>
        <w:adjustRightInd w:val="0"/>
        <w:jc w:val="center"/>
        <w:rPr>
          <w:rFonts w:ascii="Arial Narrow" w:hAnsi="Arial Narrow" w:cs="Arial Narrow"/>
          <w:b/>
          <w:sz w:val="28"/>
          <w:szCs w:val="28"/>
        </w:rPr>
      </w:pPr>
    </w:p>
    <w:p w14:paraId="7FF74B2F" w14:textId="77777777" w:rsidR="003B2DAA" w:rsidRPr="00547E72" w:rsidRDefault="003B2DAA"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4D0C5285" w14:textId="77777777" w:rsidR="003B2DAA" w:rsidRPr="00547E72" w:rsidRDefault="003B2DAA" w:rsidP="00327D32">
      <w:pPr>
        <w:adjustRightInd w:val="0"/>
        <w:rPr>
          <w:rFonts w:ascii="Arial Narrow" w:hAnsi="Arial Narrow" w:cs="Arial Narrow"/>
        </w:rPr>
      </w:pPr>
    </w:p>
    <w:p w14:paraId="6CC68950" w14:textId="77777777" w:rsidR="003B2DAA" w:rsidRPr="00547E72" w:rsidRDefault="003B2DAA" w:rsidP="00327D32">
      <w:pPr>
        <w:adjustRightInd w:val="0"/>
        <w:rPr>
          <w:rFonts w:ascii="Arial Narrow" w:hAnsi="Arial Narrow" w:cs="Arial Narrow"/>
        </w:rPr>
      </w:pPr>
    </w:p>
    <w:p w14:paraId="178EA977"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Señores:</w:t>
      </w:r>
    </w:p>
    <w:p w14:paraId="5708072E" w14:textId="77777777" w:rsidR="003B2DAA" w:rsidRPr="00547E72" w:rsidRDefault="003B2DAA" w:rsidP="00327D32">
      <w:pPr>
        <w:jc w:val="both"/>
        <w:rPr>
          <w:rFonts w:ascii="Arial Narrow" w:hAnsi="Arial Narrow" w:cs="Arial Narrow"/>
        </w:rPr>
      </w:pPr>
      <w:r w:rsidRPr="00547E72">
        <w:rPr>
          <w:rFonts w:ascii="Arial Narrow" w:hAnsi="Arial Narrow" w:cs="Arial Narrow"/>
        </w:rPr>
        <w:t>Programa Integral de Agua y Saneamiento Rural – PIASAR</w:t>
      </w:r>
    </w:p>
    <w:p w14:paraId="6A085E74" w14:textId="77777777" w:rsidR="003B2DAA" w:rsidRPr="00547E72" w:rsidRDefault="003B2DAA" w:rsidP="00327D32">
      <w:pPr>
        <w:adjustRightInd w:val="0"/>
        <w:rPr>
          <w:rFonts w:ascii="Arial Narrow" w:hAnsi="Arial Narrow" w:cs="Arial Narrow"/>
        </w:rPr>
      </w:pPr>
      <w:proofErr w:type="gramStart"/>
      <w:r w:rsidRPr="00547E72">
        <w:rPr>
          <w:rFonts w:ascii="Arial Narrow" w:hAnsi="Arial Narrow" w:cs="Arial Narrow"/>
        </w:rPr>
        <w:t>Presente.-</w:t>
      </w:r>
      <w:proofErr w:type="gramEnd"/>
    </w:p>
    <w:p w14:paraId="5E1C73D0" w14:textId="77777777" w:rsidR="003B2DAA" w:rsidRPr="00547E72" w:rsidRDefault="003B2DAA" w:rsidP="00327D32">
      <w:pPr>
        <w:adjustRightInd w:val="0"/>
        <w:rPr>
          <w:rFonts w:ascii="Arial Narrow" w:hAnsi="Arial Narrow" w:cs="Arial Narrow"/>
        </w:rPr>
      </w:pPr>
    </w:p>
    <w:p w14:paraId="0493CD14" w14:textId="77777777" w:rsidR="003B2DAA" w:rsidRPr="00547E72" w:rsidRDefault="003B2DAA" w:rsidP="00327D32">
      <w:pPr>
        <w:adjustRightInd w:val="0"/>
        <w:rPr>
          <w:rFonts w:ascii="Arial Narrow" w:hAnsi="Arial Narrow" w:cs="Arial Narrow"/>
        </w:rPr>
      </w:pPr>
    </w:p>
    <w:p w14:paraId="0CBF016E" w14:textId="5A5A64BD" w:rsidR="00C41C69" w:rsidRDefault="003B2DAA" w:rsidP="00C41C69">
      <w:pPr>
        <w:adjustRightInd w:val="0"/>
        <w:jc w:val="both"/>
        <w:rPr>
          <w:rFonts w:ascii="Arial Narrow" w:hAnsi="Arial Narrow"/>
          <w:b/>
          <w:sz w:val="20"/>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 xml:space="preserve">el </w:t>
      </w:r>
      <w:r w:rsidR="00C41C69">
        <w:rPr>
          <w:rFonts w:ascii="Arial Narrow" w:hAnsi="Arial Narrow"/>
          <w:b/>
          <w:sz w:val="20"/>
        </w:rPr>
        <w:t>“</w:t>
      </w:r>
      <w:r w:rsidR="00BC08B5" w:rsidRPr="004E3336">
        <w:rPr>
          <w:rFonts w:ascii="Arial Narrow" w:hAnsi="Arial Narrow"/>
          <w:b/>
          <w:sz w:val="20"/>
        </w:rPr>
        <w:t xml:space="preserve">SERVICIO </w:t>
      </w:r>
      <w:r w:rsidR="00BC08B5" w:rsidRPr="00D43D9A">
        <w:rPr>
          <w:rFonts w:ascii="Arial Narrow" w:hAnsi="Arial Narrow"/>
          <w:b/>
          <w:sz w:val="20"/>
        </w:rPr>
        <w:t>DE</w:t>
      </w:r>
      <w:r w:rsidR="00BC08B5">
        <w:rPr>
          <w:rFonts w:ascii="Arial Narrow" w:hAnsi="Arial Narrow"/>
          <w:b/>
          <w:sz w:val="20"/>
        </w:rPr>
        <w:t xml:space="preserve"> CONSULTORIA PARA LA ACTUALIZACIÓN DE </w:t>
      </w:r>
      <w:r w:rsidR="00532ACF">
        <w:rPr>
          <w:rFonts w:ascii="Arial Narrow" w:hAnsi="Arial Narrow"/>
          <w:b/>
          <w:sz w:val="20"/>
        </w:rPr>
        <w:t>27</w:t>
      </w:r>
      <w:r w:rsidR="00BC08B5">
        <w:rPr>
          <w:rFonts w:ascii="Arial Narrow" w:hAnsi="Arial Narrow"/>
          <w:b/>
          <w:sz w:val="20"/>
        </w:rPr>
        <w:t xml:space="preserve"> EXPEDIENTES TÉCNICOS PARA OBRAS DE INSTALACIÓN DEL SERVICIO DE AGUA POTABLE Y SANEAMIENTO</w:t>
      </w:r>
    </w:p>
    <w:p w14:paraId="10A27CA0" w14:textId="77777777" w:rsidR="00C41C69" w:rsidRDefault="00C41C69" w:rsidP="00C41C69">
      <w:pPr>
        <w:adjustRightInd w:val="0"/>
        <w:jc w:val="both"/>
        <w:rPr>
          <w:rFonts w:ascii="Arial Narrow" w:hAnsi="Arial Narrow"/>
          <w:b/>
          <w:sz w:val="20"/>
        </w:rPr>
      </w:pPr>
    </w:p>
    <w:p w14:paraId="1A560F33" w14:textId="4493D10E" w:rsidR="00BC08B5" w:rsidRDefault="00BC08B5" w:rsidP="00C41C69">
      <w:pPr>
        <w:adjustRightInd w:val="0"/>
        <w:jc w:val="both"/>
        <w:rPr>
          <w:rFonts w:ascii="Arial Narrow" w:hAnsi="Arial Narrow"/>
          <w:b/>
          <w:sz w:val="20"/>
        </w:rPr>
      </w:pPr>
      <w:r w:rsidRPr="00532ACF">
        <w:rPr>
          <w:rFonts w:ascii="Arial Narrow" w:hAnsi="Arial Narrow"/>
          <w:b/>
          <w:sz w:val="20"/>
          <w:highlight w:val="yellow"/>
        </w:rPr>
        <w:t>(INDICAR EL SCC AL CUA</w:t>
      </w:r>
      <w:r w:rsidR="00C41C69" w:rsidRPr="00532ACF">
        <w:rPr>
          <w:rFonts w:ascii="Arial Narrow" w:hAnsi="Arial Narrow"/>
          <w:b/>
          <w:sz w:val="20"/>
          <w:highlight w:val="yellow"/>
        </w:rPr>
        <w:t>L</w:t>
      </w:r>
      <w:r w:rsidRPr="00532ACF">
        <w:rPr>
          <w:rFonts w:ascii="Arial Narrow" w:hAnsi="Arial Narrow"/>
          <w:b/>
          <w:sz w:val="20"/>
          <w:highlight w:val="yellow"/>
        </w:rPr>
        <w:t xml:space="preserve"> POSTULAN)</w:t>
      </w:r>
      <w:r>
        <w:rPr>
          <w:rFonts w:ascii="Arial Narrow" w:hAnsi="Arial Narrow"/>
          <w:b/>
          <w:sz w:val="20"/>
        </w:rPr>
        <w:t xml:space="preserve"> </w:t>
      </w:r>
    </w:p>
    <w:p w14:paraId="7291C60E" w14:textId="77777777" w:rsidR="00BC08B5" w:rsidRDefault="00BC08B5" w:rsidP="00BC08B5">
      <w:pPr>
        <w:shd w:val="clear" w:color="auto" w:fill="FFFFFF"/>
        <w:jc w:val="both"/>
        <w:rPr>
          <w:rFonts w:ascii="Arial Narrow" w:hAnsi="Arial Narrow"/>
          <w:b/>
          <w:sz w:val="20"/>
        </w:rPr>
      </w:pPr>
    </w:p>
    <w:p w14:paraId="701ACDC2" w14:textId="77777777" w:rsidR="003B2DAA" w:rsidRPr="00547E72" w:rsidRDefault="003B2DAA" w:rsidP="00327D32">
      <w:pPr>
        <w:adjustRightInd w:val="0"/>
        <w:rPr>
          <w:rFonts w:ascii="Arial Narrow" w:hAnsi="Arial Narrow" w:cs="Arial Narrow"/>
        </w:rPr>
      </w:pPr>
    </w:p>
    <w:p w14:paraId="4F548370" w14:textId="77777777" w:rsidR="003B2DAA" w:rsidRPr="00547E72" w:rsidRDefault="003B2DAA"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7843322E" w14:textId="77777777" w:rsidR="003B2DAA" w:rsidRPr="00547E72" w:rsidRDefault="003B2DAA" w:rsidP="00327D32">
      <w:pPr>
        <w:adjustRightInd w:val="0"/>
        <w:jc w:val="both"/>
        <w:rPr>
          <w:rFonts w:ascii="Arial Narrow" w:hAnsi="Arial Narrow" w:cs="Arial Narrow"/>
        </w:rPr>
      </w:pPr>
    </w:p>
    <w:p w14:paraId="44E90E64" w14:textId="77777777" w:rsidR="003B2DAA" w:rsidRPr="00F77501" w:rsidRDefault="003B2DAA"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3BD9D996" w14:textId="77777777" w:rsidR="003B2DAA" w:rsidRPr="00F77501" w:rsidRDefault="003B2DAA" w:rsidP="00327D32">
      <w:pPr>
        <w:adjustRightInd w:val="0"/>
        <w:jc w:val="both"/>
        <w:rPr>
          <w:rFonts w:ascii="Arial Narrow" w:hAnsi="Arial Narrow" w:cs="Arial Narrow"/>
        </w:rPr>
      </w:pPr>
    </w:p>
    <w:p w14:paraId="2F7D1F5E" w14:textId="77777777" w:rsidR="003B2DAA" w:rsidRDefault="003B2DAA" w:rsidP="00327D32">
      <w:pPr>
        <w:adjustRightInd w:val="0"/>
        <w:jc w:val="both"/>
        <w:rPr>
          <w:rFonts w:ascii="Arial Narrow" w:hAnsi="Arial Narrow" w:cs="Arial Narrow"/>
        </w:rPr>
      </w:pPr>
      <w:r w:rsidRPr="00F77501">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r>
        <w:rPr>
          <w:rFonts w:ascii="Arial Narrow" w:hAnsi="Arial Narrow" w:cs="Arial Narrow"/>
        </w:rPr>
        <w:t>.</w:t>
      </w:r>
    </w:p>
    <w:p w14:paraId="6E2924C0" w14:textId="77777777" w:rsidR="003B2DAA" w:rsidRDefault="003B2DAA" w:rsidP="00327D32">
      <w:pPr>
        <w:adjustRightInd w:val="0"/>
        <w:rPr>
          <w:rFonts w:ascii="Arial Narrow" w:hAnsi="Arial Narrow" w:cs="Arial Narrow"/>
        </w:rPr>
      </w:pPr>
    </w:p>
    <w:p w14:paraId="3B73BE28" w14:textId="77777777" w:rsidR="003B2DAA" w:rsidRDefault="003B2DAA" w:rsidP="00327D32">
      <w:pPr>
        <w:adjustRightInd w:val="0"/>
        <w:rPr>
          <w:rFonts w:ascii="Arial Narrow" w:hAnsi="Arial Narrow" w:cs="Arial Narrow"/>
        </w:rPr>
      </w:pPr>
    </w:p>
    <w:p w14:paraId="6252C74A" w14:textId="77777777" w:rsidR="003B2DAA" w:rsidRDefault="003B2DAA" w:rsidP="00327D32">
      <w:pPr>
        <w:adjustRightInd w:val="0"/>
        <w:rPr>
          <w:rFonts w:ascii="Arial Narrow" w:hAnsi="Arial Narrow" w:cs="Arial Narrow"/>
        </w:rPr>
      </w:pPr>
    </w:p>
    <w:p w14:paraId="1CB45C05" w14:textId="77777777" w:rsidR="003B2DAA" w:rsidRDefault="003B2DAA" w:rsidP="00327D32">
      <w:pPr>
        <w:adjustRightInd w:val="0"/>
        <w:rPr>
          <w:rFonts w:ascii="Arial Narrow" w:hAnsi="Arial Narrow" w:cs="Arial Narrow"/>
        </w:rPr>
      </w:pPr>
    </w:p>
    <w:p w14:paraId="4E3AE224" w14:textId="77777777" w:rsidR="003B2DAA" w:rsidRDefault="003B2DAA" w:rsidP="00327D32">
      <w:pPr>
        <w:adjustRightInd w:val="0"/>
        <w:rPr>
          <w:rFonts w:ascii="Arial Narrow" w:hAnsi="Arial Narrow" w:cs="Arial Narrow"/>
        </w:rPr>
      </w:pPr>
    </w:p>
    <w:p w14:paraId="44024D01" w14:textId="77777777" w:rsidR="003B2DAA" w:rsidRDefault="003B2DAA" w:rsidP="00327D32">
      <w:pPr>
        <w:adjustRightInd w:val="0"/>
        <w:rPr>
          <w:rFonts w:ascii="Arial Narrow" w:hAnsi="Arial Narrow" w:cs="Arial Narrow"/>
        </w:rPr>
      </w:pPr>
    </w:p>
    <w:p w14:paraId="2750F59C" w14:textId="77777777" w:rsidR="003B2DAA" w:rsidRDefault="003B2DAA" w:rsidP="00327D32">
      <w:pPr>
        <w:adjustRightInd w:val="0"/>
        <w:rPr>
          <w:rFonts w:ascii="Arial Narrow" w:hAnsi="Arial Narrow" w:cs="Arial Narrow"/>
        </w:rPr>
      </w:pPr>
    </w:p>
    <w:p w14:paraId="67EB17C5" w14:textId="77777777" w:rsidR="003B2DAA" w:rsidRPr="00547E72" w:rsidRDefault="003B2DAA" w:rsidP="00327D32">
      <w:pPr>
        <w:adjustRightInd w:val="0"/>
        <w:rPr>
          <w:rFonts w:ascii="Arial Narrow" w:hAnsi="Arial Narrow" w:cs="Arial Narrow"/>
        </w:rPr>
      </w:pPr>
    </w:p>
    <w:p w14:paraId="40FBBFF3" w14:textId="77777777" w:rsidR="003B2DAA" w:rsidRPr="00547E72" w:rsidRDefault="003B2DAA" w:rsidP="00327D32">
      <w:pPr>
        <w:adjustRightInd w:val="0"/>
        <w:rPr>
          <w:rFonts w:ascii="Arial Narrow" w:hAnsi="Arial Narrow" w:cs="Arial Narrow"/>
        </w:rPr>
      </w:pPr>
    </w:p>
    <w:p w14:paraId="14FFAFE3"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____________________________________________</w:t>
      </w:r>
    </w:p>
    <w:p w14:paraId="300B4C71"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3C804EA3" w14:textId="77777777" w:rsidR="003B2DAA" w:rsidRDefault="003B2DAA" w:rsidP="00327D32">
      <w:pPr>
        <w:adjustRightInd w:val="0"/>
        <w:rPr>
          <w:rFonts w:ascii="Arial Narrow" w:hAnsi="Arial Narrow" w:cs="Arial Narrow"/>
        </w:rPr>
      </w:pPr>
      <w:r w:rsidRPr="00683BC2">
        <w:rPr>
          <w:rFonts w:ascii="Arial Narrow" w:hAnsi="Arial Narrow" w:cs="Arial Narrow"/>
        </w:rPr>
        <w:t>(</w:t>
      </w:r>
      <w:proofErr w:type="spellStart"/>
      <w:r w:rsidRPr="00683BC2">
        <w:rPr>
          <w:rFonts w:ascii="Arial Narrow" w:hAnsi="Arial Narrow" w:cs="Arial Narrow"/>
        </w:rPr>
        <w:t>D.N.</w:t>
      </w:r>
      <w:proofErr w:type="gramStart"/>
      <w:r w:rsidRPr="00683BC2">
        <w:rPr>
          <w:rFonts w:ascii="Arial Narrow" w:hAnsi="Arial Narrow" w:cs="Arial Narrow"/>
        </w:rPr>
        <w:t>I.Nº</w:t>
      </w:r>
      <w:proofErr w:type="spellEnd"/>
      <w:proofErr w:type="gramEnd"/>
      <w:r w:rsidRPr="00683BC2">
        <w:rPr>
          <w:rFonts w:ascii="Arial Narrow" w:hAnsi="Arial Narrow" w:cs="Arial Narrow"/>
        </w:rPr>
        <w:t xml:space="preserve"> /Carné de Extranjería de ser el caso)</w:t>
      </w:r>
    </w:p>
    <w:p w14:paraId="215596E9" w14:textId="77777777" w:rsidR="003B2DAA" w:rsidRPr="00547E72" w:rsidRDefault="003B2DAA" w:rsidP="00327D32">
      <w:pPr>
        <w:adjustRightInd w:val="0"/>
        <w:rPr>
          <w:rFonts w:ascii="Arial Narrow" w:hAnsi="Arial Narrow" w:cs="Arial Narrow"/>
        </w:rPr>
      </w:pPr>
    </w:p>
    <w:p w14:paraId="6B8B3E5C" w14:textId="77777777" w:rsidR="003B2DAA" w:rsidRDefault="003B2DAA" w:rsidP="00327D32">
      <w:pPr>
        <w:adjustRightInd w:val="0"/>
        <w:rPr>
          <w:rFonts w:ascii="Arial Narrow" w:hAnsi="Arial Narrow" w:cs="Arial Narrow"/>
        </w:rPr>
      </w:pPr>
    </w:p>
    <w:p w14:paraId="57E447D5" w14:textId="77777777" w:rsidR="003B2DAA" w:rsidRDefault="003B2DAA" w:rsidP="00327D32">
      <w:pPr>
        <w:adjustRightInd w:val="0"/>
        <w:rPr>
          <w:rFonts w:ascii="Arial Narrow" w:hAnsi="Arial Narrow" w:cs="Arial Narrow"/>
        </w:rPr>
      </w:pPr>
    </w:p>
    <w:p w14:paraId="6BA48C52" w14:textId="77777777" w:rsidR="003B2DAA" w:rsidRDefault="003B2DAA" w:rsidP="00327D32">
      <w:pPr>
        <w:adjustRightInd w:val="0"/>
        <w:rPr>
          <w:rFonts w:ascii="Arial Narrow" w:hAnsi="Arial Narrow" w:cs="Arial Narrow"/>
        </w:rPr>
      </w:pPr>
    </w:p>
    <w:p w14:paraId="22A80CBE" w14:textId="77777777" w:rsidR="003B2DAA" w:rsidRDefault="003B2DAA" w:rsidP="00327D32">
      <w:pPr>
        <w:adjustRightInd w:val="0"/>
        <w:rPr>
          <w:rFonts w:ascii="Arial Narrow" w:hAnsi="Arial Narrow" w:cs="Arial Narrow"/>
        </w:rPr>
      </w:pPr>
    </w:p>
    <w:p w14:paraId="23FD9EAE" w14:textId="77777777" w:rsidR="003B2DAA" w:rsidRDefault="003B2DAA" w:rsidP="00327D32">
      <w:pPr>
        <w:adjustRightInd w:val="0"/>
        <w:rPr>
          <w:rFonts w:ascii="Arial Narrow" w:hAnsi="Arial Narrow" w:cs="Arial Narrow"/>
        </w:rPr>
      </w:pPr>
    </w:p>
    <w:p w14:paraId="53BD41E4" w14:textId="77777777" w:rsidR="003B2DAA" w:rsidRDefault="003B2DAA" w:rsidP="00327D32">
      <w:pPr>
        <w:adjustRightInd w:val="0"/>
        <w:rPr>
          <w:rFonts w:ascii="Arial Narrow" w:hAnsi="Arial Narrow" w:cs="Arial Narrow"/>
        </w:rPr>
      </w:pPr>
    </w:p>
    <w:p w14:paraId="1E95A903" w14:textId="77777777" w:rsidR="003B2DAA" w:rsidRDefault="003B2DAA" w:rsidP="00327D32">
      <w:pPr>
        <w:adjustRightInd w:val="0"/>
        <w:rPr>
          <w:rFonts w:ascii="Arial Narrow" w:hAnsi="Arial Narrow" w:cs="Arial Narrow"/>
        </w:rPr>
      </w:pPr>
    </w:p>
    <w:p w14:paraId="6E81A21E" w14:textId="77777777" w:rsidR="003B2DAA" w:rsidRDefault="003B2DAA" w:rsidP="00327D32">
      <w:pPr>
        <w:adjustRightInd w:val="0"/>
        <w:rPr>
          <w:rFonts w:ascii="Arial Narrow" w:hAnsi="Arial Narrow" w:cs="Arial Narrow"/>
        </w:rPr>
      </w:pPr>
    </w:p>
    <w:p w14:paraId="7E35446B" w14:textId="77777777" w:rsidR="003B2DAA" w:rsidRDefault="003B2DAA">
      <w:pPr>
        <w:rPr>
          <w:rFonts w:ascii="Arial Narrow" w:hAnsi="Arial Narrow" w:cs="Arial Narrow"/>
        </w:rPr>
      </w:pPr>
      <w:r>
        <w:rPr>
          <w:rFonts w:ascii="Arial Narrow" w:hAnsi="Arial Narrow" w:cs="Arial Narrow"/>
        </w:rPr>
        <w:br w:type="page"/>
      </w:r>
    </w:p>
    <w:p w14:paraId="5C8EAFE2" w14:textId="77777777" w:rsidR="003B2DAA" w:rsidRDefault="003B2DAA" w:rsidP="00327D32">
      <w:pPr>
        <w:jc w:val="center"/>
        <w:rPr>
          <w:rFonts w:ascii="Arial Narrow" w:hAnsi="Arial Narrow" w:cs="Arial Narrow"/>
        </w:rPr>
      </w:pPr>
      <w:r w:rsidRPr="00547E72">
        <w:rPr>
          <w:rFonts w:ascii="Arial Narrow" w:hAnsi="Arial Narrow" w:cs="Arial Narrow"/>
        </w:rPr>
        <w:lastRenderedPageBreak/>
        <w:t xml:space="preserve">Formulario </w:t>
      </w:r>
      <w:proofErr w:type="spellStart"/>
      <w:r w:rsidRPr="00547E72">
        <w:rPr>
          <w:rFonts w:ascii="Arial Narrow" w:hAnsi="Arial Narrow" w:cs="Arial Narrow"/>
        </w:rPr>
        <w:t>N°</w:t>
      </w:r>
      <w:proofErr w:type="spellEnd"/>
      <w:r w:rsidRPr="00547E72">
        <w:rPr>
          <w:rFonts w:ascii="Arial Narrow" w:hAnsi="Arial Narrow" w:cs="Arial Narrow"/>
        </w:rPr>
        <w:t xml:space="preserve"> 3</w:t>
      </w:r>
    </w:p>
    <w:p w14:paraId="68FE6A69" w14:textId="77777777" w:rsidR="003B2DAA" w:rsidRPr="00547E72" w:rsidRDefault="003B2DAA"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03451AE9" w14:textId="77777777" w:rsidR="003B2DAA" w:rsidRPr="00547E72" w:rsidRDefault="003B2DAA" w:rsidP="00327D32">
      <w:pPr>
        <w:rPr>
          <w:rFonts w:ascii="Arial Narrow" w:hAnsi="Arial Narrow"/>
          <w:color w:val="000000"/>
        </w:rPr>
      </w:pPr>
    </w:p>
    <w:p w14:paraId="0D260B2E" w14:textId="77777777" w:rsidR="003B2DAA" w:rsidRPr="00547E72" w:rsidRDefault="003B2DAA" w:rsidP="00327D32">
      <w:pPr>
        <w:rPr>
          <w:rFonts w:ascii="Arial Narrow" w:hAnsi="Arial Narrow"/>
          <w:color w:val="000000"/>
        </w:rPr>
      </w:pPr>
      <w:r w:rsidRPr="00547E72">
        <w:rPr>
          <w:rFonts w:ascii="Arial Narrow" w:hAnsi="Arial Narrow"/>
          <w:color w:val="000000"/>
        </w:rPr>
        <w:t>Señores:</w:t>
      </w:r>
    </w:p>
    <w:p w14:paraId="07878F7A" w14:textId="77777777" w:rsidR="003B2DAA" w:rsidRPr="00547E72" w:rsidRDefault="003B2DAA" w:rsidP="00327D32">
      <w:pPr>
        <w:jc w:val="both"/>
        <w:rPr>
          <w:rFonts w:ascii="Arial Narrow" w:hAnsi="Arial Narrow" w:cs="Arial Narrow"/>
        </w:rPr>
      </w:pPr>
      <w:r w:rsidRPr="00547E72">
        <w:rPr>
          <w:rFonts w:ascii="Arial Narrow" w:hAnsi="Arial Narrow" w:cs="Arial Narrow"/>
        </w:rPr>
        <w:t>Programa Integral de Agua y Saneamiento Rural – PIASAR</w:t>
      </w:r>
    </w:p>
    <w:p w14:paraId="7697E26C" w14:textId="77777777" w:rsidR="003B2DAA" w:rsidRPr="00547E72" w:rsidRDefault="003B2DAA" w:rsidP="00327D32">
      <w:pPr>
        <w:rPr>
          <w:rFonts w:ascii="Arial Narrow" w:hAnsi="Arial Narrow"/>
          <w:color w:val="000000"/>
        </w:rPr>
      </w:pPr>
      <w:proofErr w:type="gramStart"/>
      <w:r w:rsidRPr="00547E72">
        <w:rPr>
          <w:rFonts w:ascii="Arial Narrow" w:hAnsi="Arial Narrow"/>
          <w:color w:val="000000"/>
        </w:rPr>
        <w:t>Presente.-</w:t>
      </w:r>
      <w:proofErr w:type="gramEnd"/>
    </w:p>
    <w:p w14:paraId="3BD63323" w14:textId="77777777" w:rsidR="003B2DAA" w:rsidRPr="00547E72" w:rsidRDefault="003B2DAA" w:rsidP="00327D32">
      <w:pPr>
        <w:rPr>
          <w:rFonts w:ascii="Arial Narrow" w:hAnsi="Arial Narrow"/>
          <w:color w:val="000000"/>
        </w:rPr>
      </w:pPr>
    </w:p>
    <w:p w14:paraId="237499DD" w14:textId="77777777" w:rsidR="003B2DAA" w:rsidRDefault="003B2DAA"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4B3F6616" w14:textId="77777777" w:rsidR="003B2DAA" w:rsidRPr="00547E72" w:rsidRDefault="003B2DAA" w:rsidP="00327D32">
      <w:pPr>
        <w:ind w:left="2694"/>
        <w:jc w:val="both"/>
        <w:rPr>
          <w:rFonts w:ascii="Arial Narrow" w:hAnsi="Arial Narrow"/>
          <w:color w:val="000000"/>
        </w:rPr>
      </w:pPr>
    </w:p>
    <w:p w14:paraId="5A3C39AD" w14:textId="77777777" w:rsidR="003B2DAA" w:rsidRPr="00547E72" w:rsidRDefault="003B2DAA" w:rsidP="00327D32">
      <w:pPr>
        <w:rPr>
          <w:rFonts w:ascii="Arial Narrow" w:hAnsi="Arial Narrow"/>
          <w:color w:val="000000"/>
        </w:rPr>
      </w:pPr>
      <w:r w:rsidRPr="00547E72">
        <w:rPr>
          <w:rFonts w:ascii="Arial Narrow" w:hAnsi="Arial Narrow"/>
          <w:color w:val="000000"/>
        </w:rPr>
        <w:t>Señores:</w:t>
      </w:r>
    </w:p>
    <w:p w14:paraId="537D79F6" w14:textId="77777777" w:rsidR="003B2DAA" w:rsidRPr="00547E72" w:rsidRDefault="003B2DAA" w:rsidP="00327D32">
      <w:pPr>
        <w:rPr>
          <w:rFonts w:ascii="Arial Narrow" w:hAnsi="Arial Narrow"/>
          <w:color w:val="000000"/>
        </w:rPr>
      </w:pPr>
    </w:p>
    <w:p w14:paraId="0FBCC396"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w:t>
      </w:r>
      <w:proofErr w:type="gramStart"/>
      <w:r w:rsidRPr="00547E72">
        <w:rPr>
          <w:rFonts w:ascii="Arial Narrow" w:hAnsi="Arial Narrow"/>
          <w:color w:val="000000"/>
        </w:rPr>
        <w:t>_(</w:t>
      </w:r>
      <w:proofErr w:type="gramEnd"/>
      <w:r w:rsidRPr="00547E72">
        <w:rPr>
          <w:rFonts w:ascii="Arial Narrow" w:hAnsi="Arial Narrow"/>
          <w:color w:val="000000"/>
        </w:rPr>
        <w:t>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57A81693" w14:textId="77777777" w:rsidR="003B2DAA" w:rsidRPr="00547E72" w:rsidRDefault="003B2DAA" w:rsidP="00327D32">
      <w:pPr>
        <w:rPr>
          <w:rFonts w:ascii="Arial Narrow" w:hAnsi="Arial Narrow"/>
          <w:color w:val="000000"/>
        </w:rPr>
      </w:pPr>
    </w:p>
    <w:p w14:paraId="6676F15F" w14:textId="77777777" w:rsidR="003B2DAA" w:rsidRPr="00547E72" w:rsidRDefault="003B2DAA" w:rsidP="00327D32">
      <w:pPr>
        <w:ind w:left="180" w:hanging="180"/>
        <w:jc w:val="both"/>
        <w:rPr>
          <w:rFonts w:ascii="Arial Narrow" w:hAnsi="Arial Narrow"/>
          <w:color w:val="000000"/>
        </w:rPr>
      </w:pPr>
      <w:r w:rsidRPr="00547E72">
        <w:rPr>
          <w:rFonts w:ascii="Arial Narrow" w:hAnsi="Arial Narrow"/>
          <w:color w:val="000000"/>
        </w:rPr>
        <w:t xml:space="preserve">1. Será conformada por las siguientes firmas consultoras, con el porcentaje de   </w:t>
      </w:r>
      <w:proofErr w:type="gramStart"/>
      <w:r w:rsidRPr="00547E72">
        <w:rPr>
          <w:rFonts w:ascii="Arial Narrow" w:hAnsi="Arial Narrow"/>
          <w:color w:val="000000"/>
        </w:rPr>
        <w:t>participación  señalado</w:t>
      </w:r>
      <w:proofErr w:type="gramEnd"/>
      <w:r w:rsidRPr="00547E72">
        <w:rPr>
          <w:rFonts w:ascii="Arial Narrow" w:hAnsi="Arial Narrow"/>
          <w:color w:val="000000"/>
        </w:rPr>
        <w:t>:</w:t>
      </w:r>
    </w:p>
    <w:p w14:paraId="7C16BFE5" w14:textId="77777777" w:rsidR="003B2DAA" w:rsidRPr="00547E72" w:rsidRDefault="003B2DAA" w:rsidP="00327D32">
      <w:pPr>
        <w:ind w:left="180" w:hanging="180"/>
        <w:jc w:val="both"/>
        <w:rPr>
          <w:rFonts w:ascii="Arial Narrow" w:hAnsi="Arial Narrow"/>
          <w:color w:val="000000"/>
        </w:rPr>
      </w:pPr>
    </w:p>
    <w:p w14:paraId="0FCCB419" w14:textId="77777777" w:rsidR="003B2DAA" w:rsidRPr="00547E72" w:rsidRDefault="003B2DAA"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___________________</w:t>
      </w:r>
      <w:proofErr w:type="gramStart"/>
      <w:r w:rsidRPr="00547E72">
        <w:rPr>
          <w:rFonts w:ascii="Arial Narrow" w:hAnsi="Arial Narrow"/>
          <w:color w:val="000000"/>
        </w:rPr>
        <w:t>_(</w:t>
      </w:r>
      <w:proofErr w:type="gramEnd"/>
      <w:r w:rsidRPr="00547E72">
        <w:rPr>
          <w:rFonts w:ascii="Arial Narrow" w:hAnsi="Arial Narrow"/>
          <w:color w:val="000000"/>
        </w:rPr>
        <w:t xml:space="preserve">nombre de la firma) </w:t>
      </w:r>
    </w:p>
    <w:p w14:paraId="3B25D8F5" w14:textId="77777777" w:rsidR="003B2DAA" w:rsidRPr="00547E72" w:rsidRDefault="003B2DAA" w:rsidP="00327D32">
      <w:pPr>
        <w:ind w:right="-136"/>
        <w:rPr>
          <w:rFonts w:ascii="Arial Narrow" w:hAnsi="Arial Narrow"/>
          <w:color w:val="000000"/>
        </w:rPr>
      </w:pPr>
      <w:r w:rsidRPr="00547E72">
        <w:rPr>
          <w:rFonts w:ascii="Arial Narrow" w:hAnsi="Arial Narrow"/>
          <w:color w:val="000000"/>
        </w:rPr>
        <w:t xml:space="preserve">   </w:t>
      </w:r>
      <w:proofErr w:type="gramStart"/>
      <w:r w:rsidRPr="00547E72">
        <w:rPr>
          <w:rFonts w:ascii="Arial Narrow" w:hAnsi="Arial Narrow"/>
          <w:color w:val="000000"/>
        </w:rPr>
        <w:t>B)_</w:t>
      </w:r>
      <w:proofErr w:type="gramEnd"/>
      <w:r w:rsidRPr="00547E72">
        <w:rPr>
          <w:rFonts w:ascii="Arial Narrow" w:hAnsi="Arial Narrow"/>
          <w:color w:val="000000"/>
        </w:rPr>
        <w:t>___________________(nombre de la firma)</w:t>
      </w:r>
    </w:p>
    <w:p w14:paraId="3600F97C" w14:textId="77777777" w:rsidR="003B2DAA" w:rsidRPr="00547E72" w:rsidRDefault="003B2DAA" w:rsidP="00327D32">
      <w:pPr>
        <w:rPr>
          <w:rFonts w:ascii="Arial Narrow" w:hAnsi="Arial Narrow"/>
          <w:color w:val="000000"/>
        </w:rPr>
      </w:pPr>
      <w:r w:rsidRPr="00547E72">
        <w:rPr>
          <w:rFonts w:ascii="Arial Narrow" w:hAnsi="Arial Narrow"/>
          <w:color w:val="000000"/>
        </w:rPr>
        <w:t xml:space="preserve">   C)___________________</w:t>
      </w:r>
      <w:proofErr w:type="gramStart"/>
      <w:r w:rsidRPr="00547E72">
        <w:rPr>
          <w:rFonts w:ascii="Arial Narrow" w:hAnsi="Arial Narrow"/>
          <w:color w:val="000000"/>
        </w:rPr>
        <w:t>_(</w:t>
      </w:r>
      <w:proofErr w:type="gramEnd"/>
      <w:r w:rsidRPr="00547E72">
        <w:rPr>
          <w:rFonts w:ascii="Arial Narrow" w:hAnsi="Arial Narrow"/>
          <w:color w:val="000000"/>
        </w:rPr>
        <w:t>nombre de la firma)</w:t>
      </w:r>
    </w:p>
    <w:p w14:paraId="5E6FD2A7" w14:textId="77777777" w:rsidR="003B2DAA" w:rsidRPr="00547E72" w:rsidRDefault="003B2DAA" w:rsidP="00327D32">
      <w:pPr>
        <w:rPr>
          <w:rFonts w:ascii="Arial Narrow" w:hAnsi="Arial Narrow"/>
          <w:color w:val="000000"/>
        </w:rPr>
      </w:pPr>
    </w:p>
    <w:p w14:paraId="02F12AE3" w14:textId="77777777" w:rsidR="003B2DAA" w:rsidRPr="00547E72" w:rsidRDefault="003B2DAA"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7906EE40" w14:textId="77777777" w:rsidR="003B2DAA" w:rsidRPr="00547E72" w:rsidRDefault="003B2DAA" w:rsidP="00327D32">
      <w:pPr>
        <w:ind w:left="360" w:hanging="360"/>
        <w:rPr>
          <w:rFonts w:ascii="Arial Narrow" w:hAnsi="Arial Narrow"/>
          <w:color w:val="000000"/>
        </w:rPr>
      </w:pPr>
    </w:p>
    <w:p w14:paraId="19EEF867"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3.   La designación oficial como firma líder </w:t>
      </w:r>
      <w:proofErr w:type="gramStart"/>
      <w:r w:rsidRPr="00547E72">
        <w:rPr>
          <w:rFonts w:ascii="Arial Narrow" w:hAnsi="Arial Narrow"/>
          <w:color w:val="000000"/>
        </w:rPr>
        <w:t>es:_</w:t>
      </w:r>
      <w:proofErr w:type="gramEnd"/>
      <w:r w:rsidRPr="00547E72">
        <w:rPr>
          <w:rFonts w:ascii="Arial Narrow" w:hAnsi="Arial Narrow"/>
          <w:color w:val="000000"/>
        </w:rPr>
        <w:t>__________________(señalar la firma</w:t>
      </w:r>
      <w:r>
        <w:rPr>
          <w:rFonts w:ascii="Arial Narrow" w:hAnsi="Arial Narrow"/>
          <w:color w:val="000000"/>
        </w:rPr>
        <w:t xml:space="preserve"> A o B o C</w:t>
      </w:r>
      <w:r w:rsidRPr="00547E72">
        <w:rPr>
          <w:rFonts w:ascii="Arial Narrow" w:hAnsi="Arial Narrow"/>
          <w:color w:val="000000"/>
        </w:rPr>
        <w:t>).</w:t>
      </w:r>
    </w:p>
    <w:p w14:paraId="7FBC483A" w14:textId="77777777" w:rsidR="003B2DAA" w:rsidRPr="00547E72" w:rsidRDefault="003B2DAA" w:rsidP="00327D32">
      <w:pPr>
        <w:ind w:left="360" w:hanging="360"/>
        <w:rPr>
          <w:rFonts w:ascii="Arial Narrow" w:hAnsi="Arial Narrow"/>
          <w:color w:val="000000"/>
        </w:rPr>
      </w:pPr>
    </w:p>
    <w:p w14:paraId="752BDDD7"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2EEA7C37" w14:textId="77777777" w:rsidR="003B2DAA" w:rsidRPr="00547E72" w:rsidRDefault="003B2DAA" w:rsidP="00327D32">
      <w:pPr>
        <w:ind w:left="360" w:hanging="360"/>
        <w:rPr>
          <w:rFonts w:ascii="Arial Narrow" w:hAnsi="Arial Narrow"/>
          <w:color w:val="000000"/>
        </w:rPr>
      </w:pPr>
    </w:p>
    <w:p w14:paraId="74AC0E3D" w14:textId="77777777" w:rsidR="003B2DAA" w:rsidRPr="00547E72" w:rsidRDefault="003B2DAA" w:rsidP="00327D32">
      <w:pPr>
        <w:ind w:left="360" w:hanging="360"/>
        <w:rPr>
          <w:rFonts w:ascii="Arial Narrow" w:hAnsi="Arial Narrow"/>
          <w:color w:val="000000"/>
        </w:rPr>
      </w:pPr>
    </w:p>
    <w:p w14:paraId="07AB2636"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4BE59665"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(Firma y </w:t>
      </w:r>
      <w:proofErr w:type="gramStart"/>
      <w:r w:rsidRPr="00547E72">
        <w:rPr>
          <w:rFonts w:ascii="Arial Narrow" w:hAnsi="Arial Narrow"/>
          <w:color w:val="000000"/>
        </w:rPr>
        <w:t>Nombre  del</w:t>
      </w:r>
      <w:proofErr w:type="gramEnd"/>
      <w:r w:rsidRPr="00547E72">
        <w:rPr>
          <w:rFonts w:ascii="Arial Narrow" w:hAnsi="Arial Narrow"/>
          <w:color w:val="000000"/>
        </w:rPr>
        <w:t xml:space="preserve"> Representante Legal de la firma)</w:t>
      </w:r>
    </w:p>
    <w:p w14:paraId="41C7840C"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w:t>
      </w:r>
      <w:proofErr w:type="gramStart"/>
      <w:r w:rsidRPr="00547E72">
        <w:rPr>
          <w:rFonts w:ascii="Arial Narrow" w:hAnsi="Arial Narrow"/>
          <w:color w:val="000000"/>
        </w:rPr>
        <w:t>I.Nº</w:t>
      </w:r>
      <w:proofErr w:type="spellEnd"/>
      <w:proofErr w:type="gramEnd"/>
      <w:r w:rsidRPr="00547E72">
        <w:rPr>
          <w:rFonts w:ascii="Arial Narrow" w:hAnsi="Arial Narrow"/>
          <w:color w:val="000000"/>
        </w:rPr>
        <w:t xml:space="preserve"> /Carné de Extranjería de ser el caso) (Firma A).</w:t>
      </w:r>
    </w:p>
    <w:p w14:paraId="1E2194A8" w14:textId="77777777" w:rsidR="003B2DAA" w:rsidRDefault="003B2DAA" w:rsidP="00327D32">
      <w:pPr>
        <w:jc w:val="both"/>
        <w:rPr>
          <w:rFonts w:ascii="Arial Narrow" w:hAnsi="Arial Narrow"/>
          <w:color w:val="000000"/>
        </w:rPr>
      </w:pPr>
    </w:p>
    <w:p w14:paraId="0950B1C6" w14:textId="77777777" w:rsidR="003B2DAA" w:rsidRDefault="003B2DAA" w:rsidP="00327D32">
      <w:pPr>
        <w:jc w:val="both"/>
        <w:rPr>
          <w:rFonts w:ascii="Arial Narrow" w:hAnsi="Arial Narrow"/>
          <w:color w:val="000000"/>
        </w:rPr>
      </w:pPr>
    </w:p>
    <w:p w14:paraId="77C0AA01" w14:textId="77777777" w:rsidR="003B2DAA" w:rsidRPr="00547E72" w:rsidRDefault="003B2DAA" w:rsidP="00327D32">
      <w:pPr>
        <w:jc w:val="both"/>
        <w:rPr>
          <w:rFonts w:ascii="Arial Narrow" w:hAnsi="Arial Narrow"/>
          <w:color w:val="000000"/>
        </w:rPr>
      </w:pPr>
    </w:p>
    <w:p w14:paraId="3546E798"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7C2F762D"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(Firma y </w:t>
      </w:r>
      <w:proofErr w:type="gramStart"/>
      <w:r w:rsidRPr="00547E72">
        <w:rPr>
          <w:rFonts w:ascii="Arial Narrow" w:hAnsi="Arial Narrow"/>
          <w:color w:val="000000"/>
        </w:rPr>
        <w:t>Nombre  del</w:t>
      </w:r>
      <w:proofErr w:type="gramEnd"/>
      <w:r w:rsidRPr="00547E72">
        <w:rPr>
          <w:rFonts w:ascii="Arial Narrow" w:hAnsi="Arial Narrow"/>
          <w:color w:val="000000"/>
        </w:rPr>
        <w:t xml:space="preserve"> Representante Legal de la firma)</w:t>
      </w:r>
    </w:p>
    <w:p w14:paraId="43D592E2"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w:t>
      </w:r>
      <w:proofErr w:type="gramStart"/>
      <w:r w:rsidRPr="00547E72">
        <w:rPr>
          <w:rFonts w:ascii="Arial Narrow" w:hAnsi="Arial Narrow"/>
          <w:color w:val="000000"/>
        </w:rPr>
        <w:t>I.Nº</w:t>
      </w:r>
      <w:proofErr w:type="spellEnd"/>
      <w:proofErr w:type="gramEnd"/>
      <w:r w:rsidRPr="00547E72">
        <w:rPr>
          <w:rFonts w:ascii="Arial Narrow" w:hAnsi="Arial Narrow"/>
          <w:color w:val="000000"/>
        </w:rPr>
        <w:t xml:space="preserve"> /Carné de Extranjería de ser el caso) (Firma B).</w:t>
      </w:r>
    </w:p>
    <w:p w14:paraId="7370CFB9" w14:textId="77777777" w:rsidR="003B2DAA" w:rsidRDefault="003B2DAA" w:rsidP="00327D32">
      <w:pPr>
        <w:jc w:val="both"/>
        <w:rPr>
          <w:rFonts w:ascii="Arial Narrow" w:hAnsi="Arial Narrow"/>
          <w:color w:val="000000"/>
        </w:rPr>
      </w:pPr>
    </w:p>
    <w:p w14:paraId="49DDF46D" w14:textId="77777777" w:rsidR="003B2DAA" w:rsidRDefault="003B2DAA" w:rsidP="00327D32">
      <w:pPr>
        <w:jc w:val="both"/>
        <w:rPr>
          <w:rFonts w:ascii="Arial Narrow" w:hAnsi="Arial Narrow"/>
          <w:color w:val="000000"/>
        </w:rPr>
      </w:pPr>
    </w:p>
    <w:p w14:paraId="62F6DC20" w14:textId="77777777" w:rsidR="003B2DAA" w:rsidRPr="00547E72" w:rsidRDefault="003B2DAA" w:rsidP="00327D32">
      <w:pPr>
        <w:jc w:val="both"/>
        <w:rPr>
          <w:rFonts w:ascii="Arial Narrow" w:hAnsi="Arial Narrow"/>
          <w:color w:val="000000"/>
        </w:rPr>
      </w:pPr>
    </w:p>
    <w:p w14:paraId="3367B25C"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2C323B21"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(Firma y </w:t>
      </w:r>
      <w:proofErr w:type="gramStart"/>
      <w:r w:rsidRPr="00547E72">
        <w:rPr>
          <w:rFonts w:ascii="Arial Narrow" w:hAnsi="Arial Narrow"/>
          <w:color w:val="000000"/>
        </w:rPr>
        <w:t>Nombre  del</w:t>
      </w:r>
      <w:proofErr w:type="gramEnd"/>
      <w:r w:rsidRPr="00547E72">
        <w:rPr>
          <w:rFonts w:ascii="Arial Narrow" w:hAnsi="Arial Narrow"/>
          <w:color w:val="000000"/>
        </w:rPr>
        <w:t xml:space="preserve"> Representante Legal de la firma)</w:t>
      </w:r>
    </w:p>
    <w:p w14:paraId="1E133450"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w:t>
      </w:r>
      <w:proofErr w:type="gramStart"/>
      <w:r w:rsidRPr="00547E72">
        <w:rPr>
          <w:rFonts w:ascii="Arial Narrow" w:hAnsi="Arial Narrow"/>
          <w:color w:val="000000"/>
        </w:rPr>
        <w:t>I.Nº</w:t>
      </w:r>
      <w:proofErr w:type="spellEnd"/>
      <w:proofErr w:type="gramEnd"/>
      <w:r w:rsidRPr="00547E72">
        <w:rPr>
          <w:rFonts w:ascii="Arial Narrow" w:hAnsi="Arial Narrow"/>
          <w:color w:val="000000"/>
        </w:rPr>
        <w:t xml:space="preserve"> /Carné de Extranjería de ser el caso) (Firma C).</w:t>
      </w:r>
    </w:p>
    <w:p w14:paraId="0DD57092" w14:textId="77777777" w:rsidR="00C41C69" w:rsidRDefault="00C41C69">
      <w:pPr>
        <w:rPr>
          <w:rFonts w:ascii="Arial Narrow" w:hAnsi="Arial Narrow" w:cs="Arial Narrow"/>
          <w:b/>
          <w:bCs/>
        </w:rPr>
      </w:pPr>
      <w:r>
        <w:rPr>
          <w:rFonts w:ascii="Arial Narrow" w:hAnsi="Arial Narrow" w:cs="Arial Narrow"/>
          <w:b/>
          <w:bCs/>
        </w:rPr>
        <w:br w:type="page"/>
      </w:r>
    </w:p>
    <w:p w14:paraId="61CA93F0" w14:textId="75C7D223" w:rsidR="003B2DAA" w:rsidRDefault="003B2DAA" w:rsidP="00327D32">
      <w:pPr>
        <w:jc w:val="center"/>
        <w:rPr>
          <w:rFonts w:ascii="Arial Narrow" w:hAnsi="Arial Narrow" w:cs="Arial Narrow"/>
          <w:b/>
          <w:bCs/>
        </w:rPr>
      </w:pPr>
      <w:r w:rsidRPr="00327D32">
        <w:rPr>
          <w:rFonts w:ascii="Arial Narrow" w:hAnsi="Arial Narrow" w:cs="Arial Narrow"/>
          <w:b/>
          <w:bCs/>
        </w:rPr>
        <w:lastRenderedPageBreak/>
        <w:t xml:space="preserve">Formulario </w:t>
      </w:r>
      <w:proofErr w:type="spellStart"/>
      <w:r w:rsidRPr="00327D32">
        <w:rPr>
          <w:rFonts w:ascii="Arial Narrow" w:hAnsi="Arial Narrow" w:cs="Arial Narrow"/>
          <w:b/>
          <w:bCs/>
        </w:rPr>
        <w:t>N°</w:t>
      </w:r>
      <w:proofErr w:type="spellEnd"/>
      <w:r w:rsidRPr="00327D32">
        <w:rPr>
          <w:rFonts w:ascii="Arial Narrow" w:hAnsi="Arial Narrow" w:cs="Arial Narrow"/>
          <w:b/>
          <w:bCs/>
        </w:rPr>
        <w:t xml:space="preserve"> 4</w:t>
      </w:r>
    </w:p>
    <w:p w14:paraId="504C3B39" w14:textId="77777777" w:rsidR="00C41C69" w:rsidRPr="00327D32" w:rsidRDefault="00C41C69" w:rsidP="00327D32">
      <w:pPr>
        <w:jc w:val="center"/>
        <w:rPr>
          <w:rFonts w:ascii="Arial Narrow" w:hAnsi="Arial Narrow" w:cs="Arial Narrow"/>
          <w:b/>
          <w:bCs/>
        </w:rPr>
      </w:pPr>
    </w:p>
    <w:p w14:paraId="339A44D7" w14:textId="3D93441B" w:rsidR="003B2DAA" w:rsidRDefault="00136AC4" w:rsidP="00327D32">
      <w:pPr>
        <w:adjustRightInd w:val="0"/>
        <w:jc w:val="center"/>
        <w:rPr>
          <w:rFonts w:ascii="Arial Narrow" w:hAnsi="Arial Narrow" w:cs="Arial Narrow"/>
          <w:b/>
          <w:sz w:val="28"/>
          <w:szCs w:val="28"/>
        </w:rPr>
      </w:pPr>
      <w:r>
        <w:rPr>
          <w:rFonts w:ascii="Arial Narrow" w:hAnsi="Arial Narrow" w:cs="Arial Narrow"/>
          <w:b/>
          <w:sz w:val="28"/>
          <w:szCs w:val="28"/>
        </w:rPr>
        <w:t>EXPERIENCIA DE LA FIRMA</w:t>
      </w:r>
    </w:p>
    <w:p w14:paraId="55A889E9" w14:textId="77777777" w:rsidR="00532ACF" w:rsidRDefault="00532ACF" w:rsidP="00327D32">
      <w:pPr>
        <w:adjustRightInd w:val="0"/>
        <w:jc w:val="center"/>
        <w:rPr>
          <w:rFonts w:ascii="Arial Narrow" w:hAnsi="Arial Narrow" w:cs="Arial Narrow"/>
          <w:b/>
          <w:sz w:val="28"/>
          <w:szCs w:val="28"/>
        </w:rPr>
      </w:pPr>
    </w:p>
    <w:p w14:paraId="0D06D90A" w14:textId="01D10007" w:rsidR="00C41C69" w:rsidRDefault="00532ACF" w:rsidP="00532ACF">
      <w:pPr>
        <w:adjustRightInd w:val="0"/>
        <w:jc w:val="both"/>
        <w:rPr>
          <w:rFonts w:ascii="Arial Narrow" w:hAnsi="Arial Narrow" w:cs="Arial Narrow"/>
        </w:rPr>
      </w:pPr>
      <w:r w:rsidRPr="00532ACF">
        <w:rPr>
          <w:rFonts w:ascii="Arial Narrow" w:hAnsi="Arial Narrow" w:cs="Arial Narrow"/>
        </w:rPr>
        <w:t>El postor debe acreditar al menos tres (03) contratos culminados con un monto mínimo facturado acumulado equivalente a una vez el valor referencial, por la contratación de servicios de consultoría de obras iguales o similares al objeto de la convocatoria, durante los diez (10) años anteriores a la fecha de la presentación de ofertas que se computarán desde la fecha de la conformidad o emisión del comprobante de pago, según corresponda</w:t>
      </w:r>
      <w:r>
        <w:rPr>
          <w:rFonts w:ascii="Arial Narrow" w:hAnsi="Arial Narrow" w:cs="Arial Narrow"/>
        </w:rPr>
        <w:t>.</w:t>
      </w:r>
    </w:p>
    <w:p w14:paraId="49FABD65" w14:textId="77777777" w:rsidR="00532ACF" w:rsidRDefault="00532ACF" w:rsidP="00532ACF">
      <w:pPr>
        <w:adjustRightInd w:val="0"/>
        <w:jc w:val="both"/>
        <w:rPr>
          <w:rFonts w:ascii="Arial Narrow" w:hAnsi="Arial Narrow" w:cs="Arial Narrow"/>
        </w:rPr>
      </w:pPr>
    </w:p>
    <w:p w14:paraId="70BDFAEB" w14:textId="77777777" w:rsidR="00532ACF" w:rsidRPr="00532ACF" w:rsidRDefault="00532ACF" w:rsidP="00532ACF">
      <w:pPr>
        <w:adjustRightInd w:val="0"/>
        <w:jc w:val="both"/>
        <w:rPr>
          <w:rFonts w:ascii="Arial Narrow" w:hAnsi="Arial Narrow" w:cs="Arial Narrow"/>
        </w:rPr>
      </w:pPr>
      <w:r w:rsidRPr="00532ACF">
        <w:rPr>
          <w:rFonts w:ascii="Arial Narrow" w:hAnsi="Arial Narrow" w:cs="Arial Narrow"/>
        </w:rPr>
        <w:t xml:space="preserve">Se consideran servicios de consultoría de obra similares a los siguientes: La elaboración y/o evaluación y/o formulación de proyectos en Agua Potable y/o Alcantarillado y/o Saneamiento y/o tratamiento de aguas servidas y/o tratamiento de agua potable, según lo indicado (Ficha técnica o estudio de </w:t>
      </w:r>
      <w:proofErr w:type="spellStart"/>
      <w:r w:rsidRPr="00532ACF">
        <w:rPr>
          <w:rFonts w:ascii="Arial Narrow" w:hAnsi="Arial Narrow" w:cs="Arial Narrow"/>
        </w:rPr>
        <w:t>Pre-inversión</w:t>
      </w:r>
      <w:proofErr w:type="spellEnd"/>
      <w:r w:rsidRPr="00532ACF">
        <w:rPr>
          <w:rFonts w:ascii="Arial Narrow" w:hAnsi="Arial Narrow" w:cs="Arial Narrow"/>
        </w:rPr>
        <w:t xml:space="preserve"> y/o Inversión)</w:t>
      </w:r>
      <w:r w:rsidRPr="00532ACF">
        <w:rPr>
          <w:rFonts w:ascii="Arial Narrow" w:hAnsi="Arial Narrow" w:cs="Arial Narrow"/>
        </w:rPr>
        <w:t xml:space="preserve"> </w:t>
      </w:r>
      <w:r w:rsidRPr="00532ACF">
        <w:rPr>
          <w:rFonts w:ascii="Arial Narrow" w:hAnsi="Arial Narrow" w:cs="Arial Narrow"/>
        </w:rPr>
        <w:t>ampliación de sistema de colectores; renovación de sistemas; concentración de vertidos; conducción de abastecimiento</w:t>
      </w:r>
    </w:p>
    <w:p w14:paraId="434FF6B1" w14:textId="77777777" w:rsidR="00532ACF" w:rsidRPr="00532ACF" w:rsidRDefault="00532ACF" w:rsidP="00532ACF">
      <w:pPr>
        <w:adjustRightInd w:val="0"/>
        <w:jc w:val="both"/>
        <w:rPr>
          <w:rFonts w:ascii="Arial Narrow" w:hAnsi="Arial Narrow" w:cs="Arial Narrow"/>
        </w:rPr>
      </w:pPr>
    </w:p>
    <w:p w14:paraId="6DB7BEBD" w14:textId="77777777" w:rsidR="00532ACF" w:rsidRPr="00532ACF" w:rsidRDefault="00532ACF" w:rsidP="00532ACF">
      <w:pPr>
        <w:adjustRightInd w:val="0"/>
        <w:jc w:val="both"/>
        <w:rPr>
          <w:rFonts w:ascii="Arial Narrow" w:hAnsi="Arial Narrow" w:cs="Arial Narrow"/>
        </w:rPr>
      </w:pPr>
      <w:r w:rsidRPr="00532ACF">
        <w:rPr>
          <w:rFonts w:ascii="Arial Narrow" w:hAnsi="Arial Narrow" w:cs="Arial Narrow"/>
        </w:rPr>
        <w:t>El término Pre-Inversión comprende: Fichas Técnicas Estándar y/o Perfiles y/o PIP menores y/o factibilidad.</w:t>
      </w:r>
    </w:p>
    <w:p w14:paraId="3D1D3BB7" w14:textId="77777777" w:rsidR="00532ACF" w:rsidRPr="00532ACF" w:rsidRDefault="00532ACF" w:rsidP="00532ACF">
      <w:pPr>
        <w:adjustRightInd w:val="0"/>
        <w:jc w:val="both"/>
        <w:rPr>
          <w:rFonts w:ascii="Arial Narrow" w:hAnsi="Arial Narrow" w:cs="Arial Narrow"/>
        </w:rPr>
      </w:pPr>
    </w:p>
    <w:p w14:paraId="2588BA6B" w14:textId="77777777" w:rsidR="00532ACF" w:rsidRPr="00532ACF" w:rsidRDefault="00532ACF" w:rsidP="00532ACF">
      <w:pPr>
        <w:adjustRightInd w:val="0"/>
        <w:jc w:val="both"/>
        <w:rPr>
          <w:rFonts w:ascii="Arial Narrow" w:hAnsi="Arial Narrow" w:cs="Arial Narrow"/>
        </w:rPr>
      </w:pPr>
      <w:r w:rsidRPr="00532ACF">
        <w:rPr>
          <w:rFonts w:ascii="Arial Narrow" w:hAnsi="Arial Narrow" w:cs="Arial Narrow"/>
        </w:rPr>
        <w:t>El término Inversión comprende: Expedientes Técnicos, Estudios definitivos.</w:t>
      </w:r>
    </w:p>
    <w:p w14:paraId="096453AC" w14:textId="77777777" w:rsidR="00532ACF" w:rsidRPr="00532ACF" w:rsidRDefault="00532ACF" w:rsidP="00532ACF">
      <w:pPr>
        <w:adjustRightInd w:val="0"/>
        <w:jc w:val="both"/>
        <w:rPr>
          <w:rFonts w:ascii="Arial Narrow" w:hAnsi="Arial Narrow" w:cs="Arial Narrow"/>
        </w:rPr>
      </w:pPr>
    </w:p>
    <w:p w14:paraId="27C6F339" w14:textId="68EA94D2" w:rsidR="00532ACF" w:rsidRPr="00532ACF" w:rsidRDefault="00532ACF" w:rsidP="00532ACF">
      <w:pPr>
        <w:adjustRightInd w:val="0"/>
        <w:jc w:val="both"/>
        <w:rPr>
          <w:rFonts w:ascii="Arial Narrow" w:hAnsi="Arial Narrow" w:cs="Arial Narrow"/>
        </w:rPr>
      </w:pPr>
      <w:r w:rsidRPr="00532ACF">
        <w:rPr>
          <w:rFonts w:ascii="Arial Narrow" w:hAnsi="Arial Narrow" w:cs="Arial Narrow"/>
        </w:rPr>
        <w:t>La definición de Saneamiento comprende: los servicios de disposición sanitaria de excretas, alcantarillado sanitario, tratamiento y disposición final de aguas servidas. Unidades Básicas de Saneamiento</w:t>
      </w:r>
    </w:p>
    <w:p w14:paraId="0548A7B0" w14:textId="77777777" w:rsidR="00532ACF" w:rsidRDefault="00532ACF" w:rsidP="00327D32">
      <w:pPr>
        <w:adjustRightInd w:val="0"/>
        <w:rPr>
          <w:rFonts w:ascii="Arial Narrow" w:hAnsi="Arial Narrow" w:cs="Arial Narrow"/>
        </w:rPr>
      </w:pPr>
    </w:p>
    <w:p w14:paraId="404FC01A"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78AC8212" w14:textId="77777777" w:rsidR="00C41C69" w:rsidRDefault="00C41C69" w:rsidP="000F289F">
      <w:pPr>
        <w:adjustRightInd w:val="0"/>
        <w:rPr>
          <w:rFonts w:ascii="Arial Narrow" w:hAnsi="Arial Narrow" w:cs="Arial Narrow"/>
        </w:rPr>
      </w:pPr>
    </w:p>
    <w:p w14:paraId="4E8970AC" w14:textId="77777777" w:rsidR="003B2DAA" w:rsidRPr="00547E72" w:rsidRDefault="003B2DAA" w:rsidP="000F289F">
      <w:pPr>
        <w:adjustRightInd w:val="0"/>
        <w:rPr>
          <w:rFonts w:ascii="Arial Narrow" w:hAnsi="Arial Narrow" w:cs="Arial Narrow"/>
          <w:sz w:val="20"/>
          <w:szCs w:val="20"/>
        </w:rPr>
      </w:pPr>
      <w:r w:rsidRPr="00547E72">
        <w:rPr>
          <w:rFonts w:ascii="Arial Narrow" w:hAnsi="Arial Narrow" w:cs="Arial Narrow"/>
        </w:rPr>
        <w:t>Fecha de Constitución de la Firma: ___________________________</w:t>
      </w:r>
    </w:p>
    <w:p w14:paraId="5AC108B5" w14:textId="77777777" w:rsidR="00C41C69" w:rsidRDefault="00C41C69" w:rsidP="00DF5A42">
      <w:pPr>
        <w:adjustRightInd w:val="0"/>
        <w:jc w:val="both"/>
        <w:rPr>
          <w:rFonts w:ascii="Arial Narrow" w:hAnsi="Arial Narrow"/>
        </w:rPr>
      </w:pPr>
    </w:p>
    <w:p w14:paraId="1ACA6842" w14:textId="77777777" w:rsidR="003B2DAA" w:rsidRPr="00547E72" w:rsidRDefault="003B2DAA"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3B2DAA" w:rsidRPr="00547E72" w14:paraId="5749B79C" w14:textId="77777777"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620E6D89" w14:textId="77777777" w:rsidR="003B2DAA" w:rsidRPr="00F75A84" w:rsidRDefault="003B2DAA" w:rsidP="00F75A84">
            <w:pPr>
              <w:adjustRightInd w:val="0"/>
              <w:jc w:val="center"/>
              <w:rPr>
                <w:rFonts w:ascii="Arial Narrow" w:hAnsi="Arial Narrow" w:cs="Arial Narrow"/>
                <w:b/>
                <w:bCs/>
                <w:sz w:val="18"/>
                <w:szCs w:val="18"/>
              </w:rPr>
            </w:pPr>
            <w:proofErr w:type="spellStart"/>
            <w:r w:rsidRPr="00F75A84">
              <w:rPr>
                <w:rFonts w:ascii="Arial Narrow" w:hAnsi="Arial Narrow" w:cs="Arial Narrow"/>
                <w:b/>
                <w:bCs/>
                <w:sz w:val="18"/>
                <w:szCs w:val="18"/>
              </w:rPr>
              <w:t>N°</w:t>
            </w:r>
            <w:proofErr w:type="spellEnd"/>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5E8D1E7F"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66D7E665"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03AE9EFD" w14:textId="77777777" w:rsidR="003B2DAA" w:rsidRPr="00F75A84" w:rsidRDefault="003B2DAA"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D1611C5"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32B4A5CF"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3B2DAA" w:rsidRPr="00547E72" w14:paraId="319C71BC"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215CB77" w14:textId="77777777" w:rsidR="003B2DAA" w:rsidRPr="00F75A84" w:rsidRDefault="003B2DAA"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592B6E5E" w14:textId="77777777" w:rsidR="003B2DAA" w:rsidRPr="00F75A84" w:rsidRDefault="003B2DAA"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235F9B1" w14:textId="77777777" w:rsidR="003B2DAA" w:rsidRPr="00F75A84" w:rsidRDefault="003B2DAA"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B8EA92"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0BB2D7"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D8A6BD"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181892F"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178B8E7" w14:textId="77777777" w:rsidR="003B2DAA" w:rsidRPr="008D098D" w:rsidRDefault="003B2DAA"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2F5A2DD1" w14:textId="77777777" w:rsidR="003B2DAA" w:rsidRDefault="003B2DAA" w:rsidP="00F75A84">
            <w:pPr>
              <w:adjustRightInd w:val="0"/>
              <w:jc w:val="center"/>
              <w:rPr>
                <w:rFonts w:ascii="Arial Narrow" w:hAnsi="Arial Narrow" w:cs="Arial Narrow"/>
                <w:sz w:val="18"/>
                <w:szCs w:val="18"/>
              </w:rPr>
            </w:pPr>
          </w:p>
        </w:tc>
      </w:tr>
      <w:tr w:rsidR="003B2DAA" w:rsidRPr="00547E72" w14:paraId="15FCC2E4" w14:textId="77777777"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9C405B9"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501C6E89"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DC95FEC"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171DEFD" w14:textId="77777777" w:rsidR="003B2DAA" w:rsidRPr="00547E72" w:rsidRDefault="003B2DAA" w:rsidP="00F75A84">
            <w:pPr>
              <w:adjustRightInd w:val="0"/>
              <w:rPr>
                <w:rFonts w:ascii="Arial Narrow" w:hAnsi="Arial Narrow" w:cs="Arial Narrow"/>
                <w:sz w:val="18"/>
                <w:szCs w:val="18"/>
              </w:rPr>
            </w:pPr>
            <w:proofErr w:type="gramStart"/>
            <w:r w:rsidRPr="00547E72">
              <w:rPr>
                <w:rFonts w:ascii="Arial Narrow" w:hAnsi="Arial Narrow" w:cs="Arial Narrow"/>
                <w:sz w:val="18"/>
                <w:szCs w:val="18"/>
              </w:rPr>
              <w:t>Cargo :</w:t>
            </w:r>
            <w:proofErr w:type="gramEnd"/>
          </w:p>
          <w:p w14:paraId="68846C4B"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3B3B7806"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737864E7" w14:textId="77777777" w:rsidR="003B2DAA" w:rsidRPr="00547E72" w:rsidRDefault="003B2DAA" w:rsidP="00F75A84">
            <w:pPr>
              <w:adjustRightInd w:val="0"/>
              <w:rPr>
                <w:rFonts w:ascii="Arial Narrow" w:hAnsi="Arial Narrow" w:cs="Arial Narrow"/>
                <w:sz w:val="18"/>
                <w:szCs w:val="18"/>
              </w:rPr>
            </w:pPr>
            <w:proofErr w:type="gramStart"/>
            <w:r w:rsidRPr="00547E72">
              <w:rPr>
                <w:rFonts w:ascii="Arial Narrow" w:hAnsi="Arial Narrow" w:cs="Arial Narrow"/>
                <w:sz w:val="18"/>
                <w:szCs w:val="18"/>
              </w:rPr>
              <w:t>País :</w:t>
            </w:r>
            <w:proofErr w:type="gramEnd"/>
          </w:p>
          <w:p w14:paraId="6CC3F33E"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34577F25"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BB57E64" w14:textId="77777777" w:rsidR="003B2DAA" w:rsidRPr="00547E72" w:rsidRDefault="003B2DAA" w:rsidP="00F75A84">
            <w:pPr>
              <w:adjustRightInd w:val="0"/>
              <w:rPr>
                <w:rFonts w:ascii="Arial Narrow" w:hAnsi="Arial Narrow" w:cs="Arial Narrow"/>
                <w:sz w:val="18"/>
                <w:szCs w:val="18"/>
              </w:rPr>
            </w:pPr>
          </w:p>
          <w:p w14:paraId="1CBE94E7" w14:textId="77777777" w:rsidR="003B2DAA" w:rsidRPr="00547E72" w:rsidRDefault="003B2DAA" w:rsidP="00F75A84">
            <w:pPr>
              <w:adjustRightInd w:val="0"/>
              <w:rPr>
                <w:rFonts w:ascii="Arial Narrow" w:hAnsi="Arial Narrow" w:cs="Arial Narrow"/>
                <w:sz w:val="18"/>
                <w:szCs w:val="18"/>
              </w:rPr>
            </w:pPr>
          </w:p>
          <w:p w14:paraId="56631BD6"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32FCA3E"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4B6E7CC5"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8B58002" w14:textId="77777777" w:rsidR="003B2DAA" w:rsidRPr="00547E72" w:rsidRDefault="003B2DAA" w:rsidP="00F75A84">
            <w:pPr>
              <w:adjustRightInd w:val="0"/>
              <w:rPr>
                <w:rFonts w:ascii="Arial Narrow" w:hAnsi="Arial Narrow" w:cs="Arial Narrow"/>
                <w:sz w:val="18"/>
                <w:szCs w:val="18"/>
              </w:rPr>
            </w:pPr>
          </w:p>
        </w:tc>
      </w:tr>
      <w:tr w:rsidR="003B2DAA" w:rsidRPr="00547E72" w14:paraId="5FE967CE" w14:textId="77777777"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CCD6977"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0F53BC65"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1A6F3115"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6BAA38F" w14:textId="77777777" w:rsidR="003B2DAA" w:rsidRPr="00547E72" w:rsidRDefault="003B2DAA" w:rsidP="00F75A84">
            <w:pPr>
              <w:adjustRightInd w:val="0"/>
              <w:rPr>
                <w:rFonts w:ascii="Arial Narrow" w:hAnsi="Arial Narrow" w:cs="Arial Narrow"/>
                <w:sz w:val="18"/>
                <w:szCs w:val="18"/>
              </w:rPr>
            </w:pPr>
            <w:proofErr w:type="gramStart"/>
            <w:r w:rsidRPr="00547E72">
              <w:rPr>
                <w:rFonts w:ascii="Arial Narrow" w:hAnsi="Arial Narrow" w:cs="Arial Narrow"/>
                <w:sz w:val="18"/>
                <w:szCs w:val="18"/>
              </w:rPr>
              <w:t>Cargo :</w:t>
            </w:r>
            <w:proofErr w:type="gramEnd"/>
          </w:p>
          <w:p w14:paraId="31216FE1"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6ACDD6CA"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75B5EB3B" w14:textId="77777777" w:rsidR="003B2DAA" w:rsidRPr="00547E72" w:rsidRDefault="003B2DAA" w:rsidP="00F75A84">
            <w:pPr>
              <w:adjustRightInd w:val="0"/>
              <w:rPr>
                <w:rFonts w:ascii="Arial Narrow" w:hAnsi="Arial Narrow" w:cs="Arial Narrow"/>
                <w:sz w:val="18"/>
                <w:szCs w:val="18"/>
              </w:rPr>
            </w:pPr>
            <w:proofErr w:type="gramStart"/>
            <w:r w:rsidRPr="00547E72">
              <w:rPr>
                <w:rFonts w:ascii="Arial Narrow" w:hAnsi="Arial Narrow" w:cs="Arial Narrow"/>
                <w:sz w:val="18"/>
                <w:szCs w:val="18"/>
              </w:rPr>
              <w:t>País :</w:t>
            </w:r>
            <w:proofErr w:type="gramEnd"/>
          </w:p>
          <w:p w14:paraId="5F0E2D58"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3DEE6D00"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7ED85F47"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DCC3588"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E2E7D4C"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8898CBF" w14:textId="77777777" w:rsidR="003B2DAA" w:rsidRPr="00547E72" w:rsidRDefault="003B2DAA" w:rsidP="00F75A84">
            <w:pPr>
              <w:adjustRightInd w:val="0"/>
              <w:rPr>
                <w:rFonts w:ascii="Arial Narrow" w:hAnsi="Arial Narrow" w:cs="Arial Narrow"/>
                <w:sz w:val="18"/>
                <w:szCs w:val="18"/>
              </w:rPr>
            </w:pPr>
          </w:p>
        </w:tc>
      </w:tr>
      <w:tr w:rsidR="003B2DAA" w:rsidRPr="00547E72" w14:paraId="3D67BF8B" w14:textId="77777777"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84043AC"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470DE4B" w14:textId="77777777" w:rsidR="003B2DAA" w:rsidRPr="00547E72" w:rsidRDefault="003B2DAA"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290CE805"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F2DDC8F"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D73447F"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A17A15D"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9655D5" w14:textId="77777777" w:rsidR="003B2DAA" w:rsidRPr="00547E72" w:rsidRDefault="003B2DAA" w:rsidP="00F75A84">
            <w:pPr>
              <w:adjustRightInd w:val="0"/>
              <w:rPr>
                <w:rFonts w:ascii="Arial Narrow" w:hAnsi="Arial Narrow" w:cs="Arial Narrow"/>
                <w:sz w:val="18"/>
                <w:szCs w:val="18"/>
              </w:rPr>
            </w:pPr>
          </w:p>
        </w:tc>
      </w:tr>
      <w:tr w:rsidR="003B2DAA" w:rsidRPr="00547E72" w14:paraId="3FE54583" w14:textId="77777777" w:rsidTr="008D098D">
        <w:trPr>
          <w:trHeight w:val="371"/>
          <w:jc w:val="center"/>
        </w:trPr>
        <w:tc>
          <w:tcPr>
            <w:tcW w:w="395" w:type="dxa"/>
            <w:tcBorders>
              <w:top w:val="single" w:sz="4" w:space="0" w:color="000000"/>
              <w:left w:val="nil"/>
              <w:bottom w:val="nil"/>
              <w:right w:val="nil"/>
            </w:tcBorders>
          </w:tcPr>
          <w:p w14:paraId="502C184E" w14:textId="77777777" w:rsidR="003B2DAA" w:rsidRPr="00547E72" w:rsidRDefault="003B2DAA"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6AD35E3" w14:textId="77777777" w:rsidR="003B2DAA" w:rsidRPr="00547E72" w:rsidRDefault="003B2DAA"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7DF91F3A"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592FE523" w14:textId="77777777" w:rsidR="003B2DAA" w:rsidRPr="00547E72" w:rsidRDefault="003B2DAA" w:rsidP="00F75A84">
            <w:pPr>
              <w:adjustRightInd w:val="0"/>
              <w:jc w:val="center"/>
              <w:rPr>
                <w:rFonts w:ascii="Arial Narrow" w:hAnsi="Arial Narrow" w:cs="Arial Narrow"/>
                <w:b/>
                <w:sz w:val="18"/>
                <w:szCs w:val="18"/>
              </w:rPr>
            </w:pPr>
            <w:proofErr w:type="gramStart"/>
            <w:r w:rsidRPr="00547E72">
              <w:rPr>
                <w:rFonts w:ascii="Arial Narrow" w:hAnsi="Arial Narrow" w:cs="Arial Narrow"/>
                <w:b/>
                <w:sz w:val="18"/>
                <w:szCs w:val="18"/>
              </w:rPr>
              <w:t>TOTAL</w:t>
            </w:r>
            <w:proofErr w:type="gramEnd"/>
            <w:r w:rsidRPr="00547E72">
              <w:rPr>
                <w:rFonts w:ascii="Arial Narrow" w:hAnsi="Arial Narrow" w:cs="Arial Narrow"/>
                <w:b/>
                <w:sz w:val="18"/>
                <w:szCs w:val="18"/>
              </w:rPr>
              <w:t xml:space="preserve"> </w:t>
            </w:r>
            <w:r>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1D764D4D" w14:textId="77777777" w:rsidR="003B2DAA" w:rsidRPr="00547E72" w:rsidRDefault="003B2DAA"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E8057CA" w14:textId="77777777" w:rsidR="003B2DAA" w:rsidRPr="00547E72" w:rsidRDefault="003B2DAA"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CB4D1E5" w14:textId="77777777" w:rsidR="003B2DAA" w:rsidRPr="00547E72" w:rsidRDefault="003B2DAA" w:rsidP="00F75A84">
            <w:pPr>
              <w:adjustRightInd w:val="0"/>
              <w:jc w:val="center"/>
              <w:rPr>
                <w:rFonts w:ascii="Arial Narrow" w:hAnsi="Arial Narrow" w:cs="Arial Narrow"/>
                <w:b/>
                <w:sz w:val="18"/>
                <w:szCs w:val="18"/>
              </w:rPr>
            </w:pPr>
          </w:p>
        </w:tc>
      </w:tr>
    </w:tbl>
    <w:p w14:paraId="59A88E3A" w14:textId="77777777" w:rsidR="003B2DAA" w:rsidRPr="004A3D72" w:rsidRDefault="003B2DAA"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32652688" w14:textId="77777777" w:rsidR="003B2DAA" w:rsidRPr="004A3D72" w:rsidRDefault="003B2DAA"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6D83F29D" w14:textId="77777777" w:rsidR="003B2DAA" w:rsidRPr="004A3D72" w:rsidRDefault="003B2DAA"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79FF6E9D" w14:textId="77777777" w:rsidR="003B2DAA" w:rsidRPr="00547E72" w:rsidRDefault="003B2DAA" w:rsidP="00327D32">
      <w:pPr>
        <w:adjustRightInd w:val="0"/>
        <w:rPr>
          <w:rFonts w:ascii="Arial Narrow" w:hAnsi="Arial Narrow" w:cs="Arial Narrow"/>
          <w:i/>
        </w:rPr>
      </w:pPr>
    </w:p>
    <w:p w14:paraId="04D8447A" w14:textId="77777777" w:rsidR="003B2DAA" w:rsidRPr="00B21B97" w:rsidRDefault="003B2DAA" w:rsidP="00327D32">
      <w:pPr>
        <w:adjustRightInd w:val="0"/>
        <w:rPr>
          <w:rFonts w:ascii="Arial Narrow" w:hAnsi="Arial Narrow" w:cs="Arial Narrow"/>
          <w:i/>
        </w:rPr>
      </w:pPr>
      <w:r w:rsidRPr="00B21B97">
        <w:rPr>
          <w:rFonts w:ascii="Arial Narrow" w:hAnsi="Arial Narrow" w:cs="Arial Narrow"/>
          <w:i/>
        </w:rPr>
        <w:lastRenderedPageBreak/>
        <w:t>______________________________</w:t>
      </w:r>
    </w:p>
    <w:p w14:paraId="77C7C0F4" w14:textId="77777777" w:rsidR="003B2DAA" w:rsidRDefault="003B2DAA"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 xml:space="preserve">Firma y </w:t>
      </w:r>
      <w:proofErr w:type="gramStart"/>
      <w:r w:rsidRPr="00B21B97">
        <w:rPr>
          <w:rFonts w:ascii="Arial Narrow" w:hAnsi="Arial Narrow" w:cs="Arial Narrow"/>
          <w:i/>
        </w:rPr>
        <w:t>Nombre  del</w:t>
      </w:r>
      <w:proofErr w:type="gramEnd"/>
      <w:r w:rsidRPr="00B21B97">
        <w:rPr>
          <w:rFonts w:ascii="Arial Narrow" w:hAnsi="Arial Narrow" w:cs="Arial Narrow"/>
          <w:i/>
        </w:rPr>
        <w:t xml:space="preserve"> Representante Legal de la Firma)</w:t>
      </w:r>
    </w:p>
    <w:p w14:paraId="00D29912" w14:textId="77777777" w:rsidR="00136AC4" w:rsidRDefault="00136AC4" w:rsidP="00327D32">
      <w:pPr>
        <w:adjustRightInd w:val="0"/>
        <w:rPr>
          <w:rFonts w:ascii="Arial Narrow" w:hAnsi="Arial Narrow" w:cs="Arial Narrow"/>
          <w:i/>
        </w:rPr>
      </w:pPr>
    </w:p>
    <w:p w14:paraId="3CC218BC" w14:textId="77777777" w:rsidR="003B2DAA" w:rsidRDefault="003B2DAA" w:rsidP="00327D32">
      <w:pPr>
        <w:sectPr w:rsidR="003B2DAA" w:rsidSect="003B2DAA">
          <w:headerReference w:type="default" r:id="rId8"/>
          <w:footerReference w:type="default" r:id="rId9"/>
          <w:pgSz w:w="11910" w:h="16840"/>
          <w:pgMar w:top="2000" w:right="1200" w:bottom="1560" w:left="1280" w:header="893" w:footer="1664" w:gutter="0"/>
          <w:pgNumType w:start="1"/>
          <w:cols w:space="720"/>
        </w:sectPr>
      </w:pPr>
    </w:p>
    <w:p w14:paraId="7D3BBBE2" w14:textId="77777777" w:rsidR="003B2DAA" w:rsidRPr="00327D32" w:rsidRDefault="003B2DAA" w:rsidP="00327D32"/>
    <w:sectPr w:rsidR="003B2DAA" w:rsidRPr="00327D32" w:rsidSect="003B2DAA">
      <w:headerReference w:type="default" r:id="rId10"/>
      <w:footerReference w:type="default" r:id="rId11"/>
      <w:type w:val="continuous"/>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1CFF" w14:textId="77777777" w:rsidR="001D1808" w:rsidRDefault="001D1808">
      <w:r>
        <w:separator/>
      </w:r>
    </w:p>
  </w:endnote>
  <w:endnote w:type="continuationSeparator" w:id="0">
    <w:p w14:paraId="31C52317" w14:textId="77777777" w:rsidR="001D1808" w:rsidRDefault="001D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C3D6" w14:textId="77777777" w:rsidR="003B2DAA" w:rsidRDefault="003B2DAA">
    <w:pPr>
      <w:pStyle w:val="Textoindependiente"/>
      <w:spacing w:line="14" w:lineRule="auto"/>
      <w:rPr>
        <w:sz w:val="15"/>
      </w:rPr>
    </w:pPr>
    <w:r>
      <w:rPr>
        <w:noProof/>
        <w:lang w:val="en-US"/>
      </w:rPr>
      <mc:AlternateContent>
        <mc:Choice Requires="wps">
          <w:drawing>
            <wp:anchor distT="0" distB="0" distL="114300" distR="114300" simplePos="0" relativeHeight="251663360" behindDoc="1" locked="0" layoutInCell="1" allowOverlap="1" wp14:anchorId="49672080" wp14:editId="1456AAE4">
              <wp:simplePos x="0" y="0"/>
              <wp:positionH relativeFrom="page">
                <wp:posOffset>3709670</wp:posOffset>
              </wp:positionH>
              <wp:positionV relativeFrom="page">
                <wp:posOffset>9940290</wp:posOffset>
              </wp:positionV>
              <wp:extent cx="14033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65116" w14:textId="23FBA6D5" w:rsidR="003B2DAA" w:rsidRDefault="003B2DAA">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C569F7">
                            <w:rPr>
                              <w:rFonts w:ascii="Times New Roman"/>
                              <w:noProof/>
                              <w:color w:val="5B9BD4"/>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72080" id="_x0000_t202" coordsize="21600,21600" o:spt="202" path="m,l,21600r21600,l21600,xe">
              <v:stroke joinstyle="miter"/>
              <v:path gradientshapeok="t" o:connecttype="rect"/>
            </v:shapetype>
            <v:shape id="Text Box 1" o:spid="_x0000_s1026" type="#_x0000_t202" style="position:absolute;margin-left:292.1pt;margin-top:782.7pt;width:11.05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Mu1gEAAJADAAAOAAAAZHJzL2Uyb0RvYy54bWysU9tu1DAQfUfiHyy/s8m2ZUHRZqvSqgip&#10;UKTCBziOk1gkHjPj3WT5esbOZsvlDfFije3xmXPOjLfX09CLg0Gy4Eq5XuVSGKehtq4t5dcv96/e&#10;SkFBuVr14Ewpj4bk9e7li+3oC3MBHfS1QcEgjorRl7ILwRdZRrozg6IVeOP4sgEcVOAttlmNamT0&#10;oc8u8nyTjYC1R9CGiE/v5ku5S/hNY3R4bBoyQfSlZG4hrZjWKq7ZbquKFpXvrD7RUP/AYlDWcdEz&#10;1J0KSuzR/gU1WI1A0ISVhiGDprHaJA2sZp3/oeapU94kLWwO+bNN9P9g9afDk/+MIkzvYOIGJhHk&#10;H0B/I+HgtlOuNTeIMHZG1Vx4HS3LRk/F6Wm0mgqKINX4EWpustoHSEBTg0N0hXUKRucGHM+mmykI&#10;HUte5ZeXr6XQfLXevNlcpaZkqlgee6Tw3sAgYlBK5J4mcHV4oBDJqGJJibUc3Nu+T33t3W8HnBhP&#10;EvnId2Yepmri7CiigvrIMhDmMeGx5qAD/CHFyCNSSvq+V2ik6D84tiLO0xLgElRLoJzmp6UMUszh&#10;bZjnbu/Rth0jz2Y7uGG7GpukPLM48eS2J4WnEY1z9es+ZT1/pN1PAAAA//8DAFBLAwQUAAYACAAA&#10;ACEACt93hOEAAAANAQAADwAAAGRycy9kb3ducmV2LnhtbEyPwU7DMAyG70i8Q2QkbizZWKuuNJ0m&#10;BCckRFcOHNMma6M1Tmmyrbw93gmO9v/p9+diO7uBnc0UrEcJy4UAZrD12mIn4bN+fciAhahQq8Gj&#10;kfBjAmzL25tC5dpfsDLnfewYlWDIlYQ+xjHnPLS9cSos/GiQsoOfnIo0Th3Xk7pQuRv4SoiUO2WR&#10;LvRqNM+9aY/7k5Ow+8LqxX6/Nx/VobJ1vRH4lh6lvL+bd0/AopnjHwxXfVKHkpwaf0Id2CAhydYr&#10;QilI0mQNjJBUpI/Amutqs8yAlwX//0X5CwAA//8DAFBLAQItABQABgAIAAAAIQC2gziS/gAAAOEB&#10;AAATAAAAAAAAAAAAAAAAAAAAAABbQ29udGVudF9UeXBlc10ueG1sUEsBAi0AFAAGAAgAAAAhADj9&#10;If/WAAAAlAEAAAsAAAAAAAAAAAAAAAAALwEAAF9yZWxzLy5yZWxzUEsBAi0AFAAGAAgAAAAhAKKr&#10;wy7WAQAAkAMAAA4AAAAAAAAAAAAAAAAALgIAAGRycy9lMm9Eb2MueG1sUEsBAi0AFAAGAAgAAAAh&#10;AArfd4ThAAAADQEAAA8AAAAAAAAAAAAAAAAAMAQAAGRycy9kb3ducmV2LnhtbFBLBQYAAAAABAAE&#10;APMAAAA+BQAAAAA=&#10;" filled="f" stroked="f">
              <v:textbox inset="0,0,0,0">
                <w:txbxContent>
                  <w:p w14:paraId="06865116" w14:textId="23FBA6D5" w:rsidR="003B2DAA" w:rsidRDefault="003B2DAA">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C569F7">
                      <w:rPr>
                        <w:rFonts w:ascii="Times New Roman"/>
                        <w:noProof/>
                        <w:color w:val="5B9BD4"/>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E308" w14:textId="77777777" w:rsidR="0069496D" w:rsidRDefault="0069496D">
    <w:pPr>
      <w:pStyle w:val="Textoindependiente"/>
      <w:spacing w:line="14" w:lineRule="auto"/>
      <w:rPr>
        <w:sz w:val="15"/>
      </w:rPr>
    </w:pPr>
    <w:r>
      <w:rPr>
        <w:noProof/>
        <w:lang w:val="en-US"/>
      </w:rPr>
      <mc:AlternateContent>
        <mc:Choice Requires="wps">
          <w:drawing>
            <wp:anchor distT="0" distB="0" distL="114300" distR="114300" simplePos="0" relativeHeight="251660288" behindDoc="1" locked="0" layoutInCell="1" allowOverlap="1" wp14:anchorId="333A2432" wp14:editId="588B5945">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6C137"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C08B5">
                            <w:rPr>
                              <w:rFonts w:ascii="Times New Roman"/>
                              <w:noProof/>
                              <w:color w:val="5B9BD4"/>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A2432" id="_x0000_t202" coordsize="21600,21600" o:spt="202" path="m,l,21600r21600,l21600,xe">
              <v:stroke joinstyle="miter"/>
              <v:path gradientshapeok="t" o:connecttype="rect"/>
            </v:shapetype>
            <v:shape id="_x0000_s1027" type="#_x0000_t202" style="position:absolute;margin-left:292.1pt;margin-top:782.7pt;width:11.05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Arfd4ThAAAADQEAAA8AAABkcnMvZG93bnJldi54bWxMj8FOwzAMhu9IvENkJG4s2VirrjSd&#10;JgQnJERXDhzTJmujNU5psq28Pd4Jjvb/6ffnYju7gZ3NFKxHCcuFAGaw9dpiJ+Gzfn3IgIWoUKvB&#10;o5HwYwJsy9ubQuXaX7Ay533sGJVgyJWEPsYx5zy0vXEqLPxokLKDn5yKNE4d15O6ULkb+EqIlDtl&#10;kS70ajTPvWmP+5OTsPvC6sV+vzcf1aGydb0R+JYepby/m3dPwKKZ4x8MV31Sh5KcGn9CHdggIcnW&#10;K0IpSNJkDYyQVKSPwJrrarPMgJcF//9F+QsAAP//AwBQSwECLQAUAAYACAAAACEAtoM4kv4AAADh&#10;AQAAEwAAAAAAAAAAAAAAAAAAAAAAW0NvbnRlbnRfVHlwZXNdLnhtbFBLAQItABQABgAIAAAAIQA4&#10;/SH/1gAAAJQBAAALAAAAAAAAAAAAAAAAAC8BAABfcmVscy8ucmVsc1BLAQItABQABgAIAAAAIQDB&#10;fEzR1wEAAJcDAAAOAAAAAAAAAAAAAAAAAC4CAABkcnMvZTJvRG9jLnhtbFBLAQItABQABgAIAAAA&#10;IQAK33eE4QAAAA0BAAAPAAAAAAAAAAAAAAAAADEEAABkcnMvZG93bnJldi54bWxQSwUGAAAAAAQA&#10;BADzAAAAPwUAAAAA&#10;" filled="f" stroked="f">
              <v:textbox inset="0,0,0,0">
                <w:txbxContent>
                  <w:p w14:paraId="1DD6C137"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C08B5">
                      <w:rPr>
                        <w:rFonts w:ascii="Times New Roman"/>
                        <w:noProof/>
                        <w:color w:val="5B9BD4"/>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4634" w14:textId="77777777" w:rsidR="001D1808" w:rsidRDefault="001D1808">
      <w:r>
        <w:separator/>
      </w:r>
    </w:p>
  </w:footnote>
  <w:footnote w:type="continuationSeparator" w:id="0">
    <w:p w14:paraId="287F0453" w14:textId="77777777" w:rsidR="001D1808" w:rsidRDefault="001D1808">
      <w:r>
        <w:continuationSeparator/>
      </w:r>
    </w:p>
  </w:footnote>
  <w:footnote w:id="1">
    <w:p w14:paraId="74EC945D" w14:textId="77777777" w:rsidR="003B2DAA" w:rsidRDefault="003B2DAA"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3304ADFF" w14:textId="77777777" w:rsidR="003B2DAA" w:rsidRDefault="003B2DAA"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5593CD01" w14:textId="77777777" w:rsidR="003B2DAA" w:rsidRPr="006B7892" w:rsidRDefault="003B2DAA"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5BD0" w14:textId="0D624D95" w:rsidR="00BC08B5" w:rsidRDefault="00BC08B5" w:rsidP="00BC08B5">
    <w:pPr>
      <w:shd w:val="clear" w:color="auto" w:fill="FFFFFF"/>
      <w:jc w:val="both"/>
      <w:rPr>
        <w:rFonts w:ascii="Arial Narrow" w:hAnsi="Arial Narrow"/>
        <w:b/>
        <w:sz w:val="20"/>
      </w:rPr>
    </w:pPr>
    <w:r w:rsidRPr="004E3336">
      <w:rPr>
        <w:rFonts w:ascii="Arial Narrow" w:hAnsi="Arial Narrow"/>
        <w:b/>
        <w:sz w:val="20"/>
      </w:rPr>
      <w:t xml:space="preserve">SERVICIO </w:t>
    </w:r>
    <w:r w:rsidRPr="00D43D9A">
      <w:rPr>
        <w:rFonts w:ascii="Arial Narrow" w:hAnsi="Arial Narrow"/>
        <w:b/>
        <w:sz w:val="20"/>
      </w:rPr>
      <w:t>DE</w:t>
    </w:r>
    <w:r>
      <w:rPr>
        <w:rFonts w:ascii="Arial Narrow" w:hAnsi="Arial Narrow"/>
        <w:b/>
        <w:sz w:val="20"/>
      </w:rPr>
      <w:t xml:space="preserve"> CONSULTORIA PARA LA ACTUALIZACIÓN DE 2</w:t>
    </w:r>
    <w:r w:rsidR="00532ACF">
      <w:rPr>
        <w:rFonts w:ascii="Arial Narrow" w:hAnsi="Arial Narrow"/>
        <w:b/>
        <w:sz w:val="20"/>
      </w:rPr>
      <w:t>7</w:t>
    </w:r>
    <w:r>
      <w:rPr>
        <w:rFonts w:ascii="Arial Narrow" w:hAnsi="Arial Narrow"/>
        <w:b/>
        <w:sz w:val="20"/>
      </w:rPr>
      <w:t xml:space="preserve"> EXPEDIENTES TÉCNICOS PARA OBRAS DE INSTALACIÓN DEL SERVICIO DE AGUA POTABLE Y SANEAMIENTO (AGRUPADOS EN 1</w:t>
    </w:r>
    <w:r w:rsidR="00532ACF">
      <w:rPr>
        <w:rFonts w:ascii="Arial Narrow" w:hAnsi="Arial Narrow"/>
        <w:b/>
        <w:sz w:val="20"/>
      </w:rPr>
      <w:t>2</w:t>
    </w:r>
    <w:r>
      <w:rPr>
        <w:rFonts w:ascii="Arial Narrow" w:hAnsi="Arial Narrow"/>
        <w:b/>
        <w:sz w:val="20"/>
      </w:rPr>
      <w:t xml:space="preserve"> TÉRMINOS DE REFERENCIA)</w:t>
    </w:r>
  </w:p>
  <w:p w14:paraId="1D3F44BF" w14:textId="7A3F2DFC" w:rsidR="003B2DAA" w:rsidRDefault="003B2DAA" w:rsidP="00BC08B5">
    <w:pPr>
      <w:ind w:left="2"/>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4EE0" w14:textId="77777777" w:rsidR="00BC1D61" w:rsidRPr="004504A0" w:rsidRDefault="00BC1D61" w:rsidP="00BC1D61">
    <w:pPr>
      <w:ind w:left="2"/>
      <w:jc w:val="both"/>
      <w:rPr>
        <w:rFonts w:ascii="Arial Narrow" w:hAnsi="Arial Narrow" w:cs="Arial"/>
        <w:b/>
        <w:sz w:val="18"/>
        <w:szCs w:val="18"/>
      </w:rPr>
    </w:pPr>
    <w:r w:rsidRPr="004504A0">
      <w:rPr>
        <w:noProof/>
        <w:sz w:val="18"/>
        <w:szCs w:val="18"/>
        <w:lang w:val="en-US"/>
      </w:rPr>
      <w:drawing>
        <wp:anchor distT="0" distB="0" distL="114300" distR="114300" simplePos="0" relativeHeight="251659264" behindDoc="0" locked="0" layoutInCell="1" hidden="0" allowOverlap="1" wp14:anchorId="5BE69EE1" wp14:editId="396A0477">
          <wp:simplePos x="0" y="0"/>
          <wp:positionH relativeFrom="margin">
            <wp:align>center</wp:align>
          </wp:positionH>
          <wp:positionV relativeFrom="paragraph">
            <wp:posOffset>-500303</wp:posOffset>
          </wp:positionV>
          <wp:extent cx="6935470" cy="1196975"/>
          <wp:effectExtent l="0" t="0" r="0" b="3175"/>
          <wp:wrapSquare wrapText="bothSides" distT="0" distB="0" distL="114300" distR="114300"/>
          <wp:docPr id="123"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1"/>
                  <a:srcRect t="15631"/>
                  <a:stretch>
                    <a:fillRect/>
                  </a:stretch>
                </pic:blipFill>
                <pic:spPr>
                  <a:xfrm>
                    <a:off x="0" y="0"/>
                    <a:ext cx="6935470" cy="1196975"/>
                  </a:xfrm>
                  <a:prstGeom prst="rect">
                    <a:avLst/>
                  </a:prstGeom>
                  <a:ln/>
                </pic:spPr>
              </pic:pic>
            </a:graphicData>
          </a:graphic>
          <wp14:sizeRelH relativeFrom="margin">
            <wp14:pctWidth>0</wp14:pctWidth>
          </wp14:sizeRelH>
        </wp:anchor>
      </w:drawing>
    </w:r>
    <w:r w:rsidRPr="004504A0">
      <w:rPr>
        <w:rFonts w:ascii="Arial Narrow" w:hAnsi="Arial Narrow" w:cs="Arial"/>
        <w:b/>
        <w:sz w:val="18"/>
        <w:szCs w:val="18"/>
      </w:rPr>
      <w:t xml:space="preserve">EXPRESIONES DE INTERÉS </w:t>
    </w:r>
    <w:proofErr w:type="spellStart"/>
    <w:r w:rsidRPr="004504A0">
      <w:rPr>
        <w:rFonts w:ascii="Arial Narrow" w:hAnsi="Arial Narrow" w:cs="Arial"/>
        <w:b/>
        <w:sz w:val="18"/>
        <w:szCs w:val="18"/>
      </w:rPr>
      <w:t>Nº</w:t>
    </w:r>
    <w:proofErr w:type="spellEnd"/>
    <w:r w:rsidRPr="004504A0">
      <w:rPr>
        <w:rFonts w:ascii="Arial Narrow" w:hAnsi="Arial Narrow" w:cs="Arial"/>
        <w:b/>
        <w:sz w:val="18"/>
        <w:szCs w:val="18"/>
      </w:rPr>
      <w:t xml:space="preserve"> </w:t>
    </w:r>
    <w:r w:rsidR="003C69DF" w:rsidRPr="003B4D2A">
      <w:rPr>
        <w:rFonts w:ascii="Arial Narrow" w:hAnsi="Arial Narrow" w:cs="Arial"/>
        <w:b/>
        <w:noProof/>
        <w:sz w:val="18"/>
        <w:szCs w:val="18"/>
      </w:rPr>
      <w:t>007-2022- VIVIENDA/VMCS/PNSR/PIASAR</w:t>
    </w:r>
    <w:r w:rsidR="000F289F">
      <w:rPr>
        <w:rFonts w:ascii="Arial Narrow" w:hAnsi="Arial Narrow" w:cs="Arial"/>
        <w:b/>
        <w:sz w:val="18"/>
        <w:szCs w:val="18"/>
      </w:rPr>
      <w:t xml:space="preserve"> </w:t>
    </w:r>
    <w:r w:rsidRPr="004504A0">
      <w:rPr>
        <w:rFonts w:ascii="Arial Narrow" w:hAnsi="Arial Narrow" w:cs="Arial"/>
        <w:b/>
        <w:sz w:val="18"/>
        <w:szCs w:val="18"/>
      </w:rPr>
      <w:t xml:space="preserve">– </w:t>
    </w:r>
    <w:r w:rsidR="003C69DF" w:rsidRPr="003B4D2A">
      <w:rPr>
        <w:rFonts w:ascii="Arial Narrow" w:hAnsi="Arial Narrow" w:cs="Arial"/>
        <w:b/>
        <w:noProof/>
        <w:sz w:val="18"/>
        <w:szCs w:val="18"/>
      </w:rPr>
      <w:t>SUPERVISION DE LA OBRA: INSTALACIÓN DEL SERVICIO DE AGUA POTABLE Y SANEAMIENTO EN LA LOCALIDAD DE TAURIPAMPA, DISTRITO DE LAJAS, PROVINCIA DE CHOTA, DEPARTAMENTO DE CAJAMARCA</w:t>
    </w:r>
  </w:p>
  <w:p w14:paraId="6BF3C4A9" w14:textId="77777777" w:rsidR="0069496D" w:rsidRDefault="006949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1"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5"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8"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1"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2"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124782448">
    <w:abstractNumId w:val="17"/>
  </w:num>
  <w:num w:numId="2" w16cid:durableId="59184151">
    <w:abstractNumId w:val="27"/>
  </w:num>
  <w:num w:numId="3" w16cid:durableId="1411734538">
    <w:abstractNumId w:val="11"/>
  </w:num>
  <w:num w:numId="4" w16cid:durableId="278027275">
    <w:abstractNumId w:val="30"/>
  </w:num>
  <w:num w:numId="5" w16cid:durableId="102966964">
    <w:abstractNumId w:val="31"/>
  </w:num>
  <w:num w:numId="6" w16cid:durableId="1896358654">
    <w:abstractNumId w:val="32"/>
  </w:num>
  <w:num w:numId="7" w16cid:durableId="437608548">
    <w:abstractNumId w:val="7"/>
  </w:num>
  <w:num w:numId="8" w16cid:durableId="234553548">
    <w:abstractNumId w:val="14"/>
  </w:num>
  <w:num w:numId="9" w16cid:durableId="1559394834">
    <w:abstractNumId w:val="4"/>
  </w:num>
  <w:num w:numId="10" w16cid:durableId="1082220944">
    <w:abstractNumId w:val="1"/>
  </w:num>
  <w:num w:numId="11" w16cid:durableId="489636106">
    <w:abstractNumId w:val="9"/>
  </w:num>
  <w:num w:numId="12" w16cid:durableId="1438598570">
    <w:abstractNumId w:val="2"/>
  </w:num>
  <w:num w:numId="13" w16cid:durableId="1994482579">
    <w:abstractNumId w:val="24"/>
  </w:num>
  <w:num w:numId="14" w16cid:durableId="360740616">
    <w:abstractNumId w:val="20"/>
  </w:num>
  <w:num w:numId="15" w16cid:durableId="385883686">
    <w:abstractNumId w:val="13"/>
  </w:num>
  <w:num w:numId="16" w16cid:durableId="197278309">
    <w:abstractNumId w:val="23"/>
  </w:num>
  <w:num w:numId="17" w16cid:durableId="1240948791">
    <w:abstractNumId w:val="26"/>
  </w:num>
  <w:num w:numId="18" w16cid:durableId="1412701089">
    <w:abstractNumId w:val="12"/>
  </w:num>
  <w:num w:numId="19" w16cid:durableId="1648516013">
    <w:abstractNumId w:val="5"/>
  </w:num>
  <w:num w:numId="20" w16cid:durableId="294914759">
    <w:abstractNumId w:val="28"/>
  </w:num>
  <w:num w:numId="21" w16cid:durableId="247614656">
    <w:abstractNumId w:val="10"/>
  </w:num>
  <w:num w:numId="22" w16cid:durableId="76557865">
    <w:abstractNumId w:val="25"/>
  </w:num>
  <w:num w:numId="23" w16cid:durableId="442921897">
    <w:abstractNumId w:val="15"/>
  </w:num>
  <w:num w:numId="24" w16cid:durableId="1116368654">
    <w:abstractNumId w:val="21"/>
  </w:num>
  <w:num w:numId="25" w16cid:durableId="311253255">
    <w:abstractNumId w:val="16"/>
  </w:num>
  <w:num w:numId="26" w16cid:durableId="157381169">
    <w:abstractNumId w:val="22"/>
  </w:num>
  <w:num w:numId="27" w16cid:durableId="510411222">
    <w:abstractNumId w:val="18"/>
  </w:num>
  <w:num w:numId="28" w16cid:durableId="1277719186">
    <w:abstractNumId w:val="6"/>
  </w:num>
  <w:num w:numId="29" w16cid:durableId="1767339238">
    <w:abstractNumId w:val="8"/>
  </w:num>
  <w:num w:numId="30" w16cid:durableId="876702300">
    <w:abstractNumId w:val="3"/>
  </w:num>
  <w:num w:numId="31" w16cid:durableId="61871993">
    <w:abstractNumId w:val="29"/>
  </w:num>
  <w:num w:numId="32" w16cid:durableId="1494494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90061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241C2"/>
    <w:rsid w:val="00030276"/>
    <w:rsid w:val="0009107E"/>
    <w:rsid w:val="000A54EE"/>
    <w:rsid w:val="000B30F5"/>
    <w:rsid w:val="000C0353"/>
    <w:rsid w:val="000E043A"/>
    <w:rsid w:val="000F289F"/>
    <w:rsid w:val="00102FED"/>
    <w:rsid w:val="0010616E"/>
    <w:rsid w:val="00136AC4"/>
    <w:rsid w:val="00154E91"/>
    <w:rsid w:val="00157198"/>
    <w:rsid w:val="00185231"/>
    <w:rsid w:val="00191770"/>
    <w:rsid w:val="001917E5"/>
    <w:rsid w:val="001960D5"/>
    <w:rsid w:val="001963A0"/>
    <w:rsid w:val="00197011"/>
    <w:rsid w:val="001D1808"/>
    <w:rsid w:val="001D33CA"/>
    <w:rsid w:val="001E71B6"/>
    <w:rsid w:val="002074B7"/>
    <w:rsid w:val="002076F8"/>
    <w:rsid w:val="002517B4"/>
    <w:rsid w:val="002554CB"/>
    <w:rsid w:val="0027658B"/>
    <w:rsid w:val="00291F48"/>
    <w:rsid w:val="002B1CCC"/>
    <w:rsid w:val="002F3336"/>
    <w:rsid w:val="002F4FE4"/>
    <w:rsid w:val="0032085F"/>
    <w:rsid w:val="00327D32"/>
    <w:rsid w:val="00344AFF"/>
    <w:rsid w:val="00354FCB"/>
    <w:rsid w:val="00380D90"/>
    <w:rsid w:val="00381AA2"/>
    <w:rsid w:val="003914C5"/>
    <w:rsid w:val="00395A0E"/>
    <w:rsid w:val="00396F8E"/>
    <w:rsid w:val="003A3C42"/>
    <w:rsid w:val="003B2DAA"/>
    <w:rsid w:val="003C69DF"/>
    <w:rsid w:val="003D5A9A"/>
    <w:rsid w:val="00404E37"/>
    <w:rsid w:val="00436EF1"/>
    <w:rsid w:val="00437F92"/>
    <w:rsid w:val="00444282"/>
    <w:rsid w:val="004504A0"/>
    <w:rsid w:val="004835BA"/>
    <w:rsid w:val="004E4CC0"/>
    <w:rsid w:val="004F4E3C"/>
    <w:rsid w:val="0050564E"/>
    <w:rsid w:val="00506099"/>
    <w:rsid w:val="00506728"/>
    <w:rsid w:val="00521CF1"/>
    <w:rsid w:val="00522224"/>
    <w:rsid w:val="00532984"/>
    <w:rsid w:val="00532ACF"/>
    <w:rsid w:val="00557E50"/>
    <w:rsid w:val="005B1E36"/>
    <w:rsid w:val="00605843"/>
    <w:rsid w:val="00605F43"/>
    <w:rsid w:val="00610A83"/>
    <w:rsid w:val="00634069"/>
    <w:rsid w:val="00656A00"/>
    <w:rsid w:val="00665E6D"/>
    <w:rsid w:val="00671D5F"/>
    <w:rsid w:val="00675F18"/>
    <w:rsid w:val="00686C23"/>
    <w:rsid w:val="0069496D"/>
    <w:rsid w:val="00696E6B"/>
    <w:rsid w:val="00776DD5"/>
    <w:rsid w:val="007A48CE"/>
    <w:rsid w:val="007A5C04"/>
    <w:rsid w:val="007B1EE4"/>
    <w:rsid w:val="007E5B95"/>
    <w:rsid w:val="00806976"/>
    <w:rsid w:val="0080758D"/>
    <w:rsid w:val="00814C34"/>
    <w:rsid w:val="00816507"/>
    <w:rsid w:val="00853C22"/>
    <w:rsid w:val="008B5885"/>
    <w:rsid w:val="008B797B"/>
    <w:rsid w:val="008D098D"/>
    <w:rsid w:val="008E1486"/>
    <w:rsid w:val="008E6B11"/>
    <w:rsid w:val="00926F3D"/>
    <w:rsid w:val="00932F6B"/>
    <w:rsid w:val="00952ABC"/>
    <w:rsid w:val="00965607"/>
    <w:rsid w:val="00966143"/>
    <w:rsid w:val="009A240B"/>
    <w:rsid w:val="009A35F0"/>
    <w:rsid w:val="009B0904"/>
    <w:rsid w:val="009D1B08"/>
    <w:rsid w:val="009F3104"/>
    <w:rsid w:val="00A057CA"/>
    <w:rsid w:val="00A16047"/>
    <w:rsid w:val="00A17A1B"/>
    <w:rsid w:val="00A25E62"/>
    <w:rsid w:val="00A319E6"/>
    <w:rsid w:val="00A403AD"/>
    <w:rsid w:val="00A610DA"/>
    <w:rsid w:val="00A92B1D"/>
    <w:rsid w:val="00AD1208"/>
    <w:rsid w:val="00AF2318"/>
    <w:rsid w:val="00B0446E"/>
    <w:rsid w:val="00B2105F"/>
    <w:rsid w:val="00B67252"/>
    <w:rsid w:val="00B84646"/>
    <w:rsid w:val="00B86D55"/>
    <w:rsid w:val="00B93342"/>
    <w:rsid w:val="00B9708F"/>
    <w:rsid w:val="00BC08B5"/>
    <w:rsid w:val="00BC1D61"/>
    <w:rsid w:val="00BE53CB"/>
    <w:rsid w:val="00BF20EC"/>
    <w:rsid w:val="00C10F13"/>
    <w:rsid w:val="00C30586"/>
    <w:rsid w:val="00C41C69"/>
    <w:rsid w:val="00C569F7"/>
    <w:rsid w:val="00C669B3"/>
    <w:rsid w:val="00C91124"/>
    <w:rsid w:val="00CA1E2D"/>
    <w:rsid w:val="00CA7222"/>
    <w:rsid w:val="00CA74DB"/>
    <w:rsid w:val="00CD6A29"/>
    <w:rsid w:val="00CD7942"/>
    <w:rsid w:val="00D214EA"/>
    <w:rsid w:val="00D502B1"/>
    <w:rsid w:val="00DB7365"/>
    <w:rsid w:val="00DF5A42"/>
    <w:rsid w:val="00E115D7"/>
    <w:rsid w:val="00E470AA"/>
    <w:rsid w:val="00E72692"/>
    <w:rsid w:val="00E91FBF"/>
    <w:rsid w:val="00E94898"/>
    <w:rsid w:val="00EB3955"/>
    <w:rsid w:val="00ED5141"/>
    <w:rsid w:val="00EE32B4"/>
    <w:rsid w:val="00EE591B"/>
    <w:rsid w:val="00EF380B"/>
    <w:rsid w:val="00EF4862"/>
    <w:rsid w:val="00F618CC"/>
    <w:rsid w:val="00F67693"/>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46EFA"/>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F3431-A5B5-48CF-91B6-805DCDF5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907</Words>
  <Characters>4994</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PIASAR - PNSR</cp:lastModifiedBy>
  <cp:revision>2</cp:revision>
  <cp:lastPrinted>2022-07-17T16:23:00Z</cp:lastPrinted>
  <dcterms:created xsi:type="dcterms:W3CDTF">2024-05-31T21:34:00Z</dcterms:created>
  <dcterms:modified xsi:type="dcterms:W3CDTF">2024-05-31T21:34:00Z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